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68" w:lineRule="auto"/>
        <w:textAlignment w:val="auto"/>
        <w:rPr>
          <w:rFonts w:hint="eastAsia"/>
          <w:sz w:val="44"/>
          <w:szCs w:val="44"/>
          <w:lang w:val="en-US" w:eastAsia="zh-CN"/>
        </w:rPr>
      </w:pP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68" w:lineRule="auto"/>
        <w:textAlignment w:val="auto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GL-800型</w:t>
      </w: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68" w:lineRule="auto"/>
        <w:textAlignment w:val="auto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多参数水质分析仪</w:t>
      </w:r>
    </w:p>
    <w:p>
      <w:pPr>
        <w:pStyle w:val="3"/>
        <w:rPr>
          <w:rFonts w:hint="eastAsia"/>
          <w:b/>
          <w:bCs/>
          <w:sz w:val="28"/>
          <w:szCs w:val="36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-574675</wp:posOffset>
                </wp:positionH>
                <wp:positionV relativeFrom="paragraph">
                  <wp:posOffset>-79375</wp:posOffset>
                </wp:positionV>
                <wp:extent cx="6388735" cy="321945"/>
                <wp:effectExtent l="0" t="0" r="12065" b="13335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8735" cy="321945"/>
                          <a:chOff x="7320" y="12853"/>
                          <a:chExt cx="10061" cy="507"/>
                        </a:xfrm>
                      </wpg:grpSpPr>
                      <wps:wsp>
                        <wps:cNvPr id="21" name="文本框 21"/>
                        <wps:cNvSpPr txBox="1"/>
                        <wps:spPr>
                          <a:xfrm>
                            <a:off x="7320" y="12853"/>
                            <a:ext cx="2425" cy="50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1"/>
                                <w:bidi w:val="0"/>
                                <w:jc w:val="center"/>
                                <w:rPr>
                                  <w:rFonts w:hint="default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  <w:lang w:val="en-US" w:eastAsia="zh-CN"/>
                                </w:rPr>
                                <w:t>配套多功能智能消解仪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2" name="文本框 22"/>
                        <wps:cNvSpPr txBox="1"/>
                        <wps:spPr>
                          <a:xfrm>
                            <a:off x="9918" y="12853"/>
                            <a:ext cx="2425" cy="50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1"/>
                                <w:bidi w:val="0"/>
                                <w:jc w:val="center"/>
                                <w:rPr>
                                  <w:rFonts w:hint="default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  <w:lang w:val="en-US" w:eastAsia="zh-CN"/>
                                </w:rPr>
                                <w:t>内置微型热敏打印机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3" name="文本框 23"/>
                        <wps:cNvSpPr txBox="1"/>
                        <wps:spPr>
                          <a:xfrm>
                            <a:off x="12793" y="12853"/>
                            <a:ext cx="1799" cy="50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1"/>
                                <w:bidi w:val="0"/>
                                <w:jc w:val="center"/>
                                <w:rPr>
                                  <w:rFonts w:hint="default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  <w:lang w:val="en-US" w:eastAsia="zh-CN"/>
                                </w:rPr>
                                <w:t>管皿双比色池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4" name="文本框 24"/>
                        <wps:cNvSpPr txBox="1"/>
                        <wps:spPr>
                          <a:xfrm>
                            <a:off x="15142" y="12853"/>
                            <a:ext cx="2239" cy="50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1"/>
                                <w:bidi w:val="0"/>
                                <w:jc w:val="center"/>
                                <w:rPr>
                                  <w:rFonts w:hint="default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  <w:lang w:val="en-US" w:eastAsia="zh-CN"/>
                                </w:rPr>
                                <w:t>配套预制试剂及移液器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5.25pt;margin-top:-6.25pt;height:25.35pt;width:503.05pt;z-index:251660288;mso-width-relative:page;mso-height-relative:page;" coordorigin="7320,12853" coordsize="10061,507" o:gfxdata="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">
                <o:lock v:ext="edit" aspectratio="f"/>
                <v:shape id="_x0000_s1026" o:spid="_x0000_s1026" o:spt="202" type="#_x0000_t202" style="position:absolute;left:7320;top:12853;height:507;width:2425;" fillcolor="#FFFFFF [3201]" filled="t" stroked="f" coordsize="21600,21600" o:gfxdata="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qQxZC2AAAA2wAAAA8A&#10;AAAAAAAAAQAgAAAAIgAAAGRycy9kb3ducmV2LnhtbFBLAQIUABQAAAAIAIdO4kAzLwWeOwAAADkA&#10;AAAQAAAAAAAAAAEAIAAAAAUBAABkcnMvc2hhcGV4bWwueG1sUEsFBgAAAAAGAAYAWwEAAK8DAAAA&#10;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11"/>
                          <w:bidi w:val="0"/>
                          <w:jc w:val="center"/>
                          <w:rPr>
                            <w:rFonts w:hint="default"/>
                            <w:sz w:val="20"/>
                            <w:szCs w:val="20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  <w:lang w:val="en-US" w:eastAsia="zh-CN"/>
                          </w:rPr>
                          <w:t>配套多功能智能消解仪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918;top:12853;height:507;width:2425;" fillcolor="#FFFFFF [3201]" filled="t" stroked="f" coordsize="21600,21600" o:gfxdata="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kJb57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11"/>
                          <w:bidi w:val="0"/>
                          <w:jc w:val="center"/>
                          <w:rPr>
                            <w:rFonts w:hint="default"/>
                            <w:sz w:val="20"/>
                            <w:szCs w:val="20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  <w:lang w:val="en-US" w:eastAsia="zh-CN"/>
                          </w:rPr>
                          <w:t>内置微型热敏打印机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2793;top:12853;height:507;width:1799;" fillcolor="#FFFFFF [3201]" filled="t" stroked="f" coordsize="21600,21600" o:gfxdata="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UO/ny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11"/>
                          <w:bidi w:val="0"/>
                          <w:jc w:val="center"/>
                          <w:rPr>
                            <w:rFonts w:hint="default"/>
                            <w:sz w:val="20"/>
                            <w:szCs w:val="20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  <w:lang w:val="en-US" w:eastAsia="zh-CN"/>
                          </w:rPr>
                          <w:t>管皿双比色池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5142;top:12853;height:507;width:2239;" fillcolor="#FFFFFF [3201]" filled="t" stroked="f" coordsize="21600,21600" o:gfxdata="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rnZgi2AAAA2wAAAA8A&#10;AAAAAAAAAQAgAAAAIgAAAGRycy9kb3ducmV2LnhtbFBLAQIUABQAAAAIAIdO4kAzLwWeOwAAADkA&#10;AAAQAAAAAAAAAAEAIAAAAAUBAABkcnMvc2hhcGV4bWwueG1sUEsFBgAAAAAGAAYAWwEAAK8DAAAA&#10;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11"/>
                          <w:bidi w:val="0"/>
                          <w:jc w:val="center"/>
                          <w:rPr>
                            <w:rFonts w:hint="default"/>
                            <w:sz w:val="20"/>
                            <w:szCs w:val="20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  <w:lang w:val="en-US" w:eastAsia="zh-CN"/>
                          </w:rPr>
                          <w:t>配套预制试剂及移液器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-550545</wp:posOffset>
            </wp:positionH>
            <wp:positionV relativeFrom="page">
              <wp:posOffset>6557645</wp:posOffset>
            </wp:positionV>
            <wp:extent cx="6447790" cy="1316990"/>
            <wp:effectExtent l="0" t="0" r="13970" b="0"/>
            <wp:wrapTight wrapText="bothSides">
              <wp:wrapPolygon>
                <wp:start x="153" y="750"/>
                <wp:lineTo x="0" y="1500"/>
                <wp:lineTo x="0" y="19746"/>
                <wp:lineTo x="204" y="20496"/>
                <wp:lineTo x="21340" y="20496"/>
                <wp:lineTo x="21545" y="19746"/>
                <wp:lineTo x="21545" y="1500"/>
                <wp:lineTo x="21392" y="750"/>
                <wp:lineTo x="153" y="750"/>
              </wp:wrapPolygon>
            </wp:wrapTight>
            <wp:docPr id="19" name="图片 19" descr="未标题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未标题-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779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55880</wp:posOffset>
            </wp:positionV>
            <wp:extent cx="7783195" cy="4993005"/>
            <wp:effectExtent l="0" t="0" r="0" b="0"/>
            <wp:wrapTight wrapText="bothSides">
              <wp:wrapPolygon>
                <wp:start x="3722" y="0"/>
                <wp:lineTo x="0" y="2044"/>
                <wp:lineTo x="0" y="18856"/>
                <wp:lineTo x="1396" y="21559"/>
                <wp:lineTo x="1438" y="21559"/>
                <wp:lineTo x="13153" y="21559"/>
                <wp:lineTo x="14126" y="21097"/>
                <wp:lineTo x="16072" y="20042"/>
                <wp:lineTo x="17764" y="18988"/>
                <wp:lineTo x="19286" y="17933"/>
                <wp:lineTo x="21570" y="16219"/>
                <wp:lineTo x="21570" y="4483"/>
                <wp:lineTo x="21316" y="4219"/>
                <wp:lineTo x="20978" y="3165"/>
                <wp:lineTo x="19878" y="1055"/>
                <wp:lineTo x="19878" y="0"/>
                <wp:lineTo x="3722" y="0"/>
              </wp:wrapPolygon>
            </wp:wrapTight>
            <wp:docPr id="1" name="图片 1" descr="B:\1.格林产品\800系列产品介绍\GL-800图片.pngGL-800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:\1.格林产品\800系列产品介绍\GL-800图片.pngGL-800图片"/>
                    <pic:cNvPicPr>
                      <a:picLocks noChangeAspect="1"/>
                    </pic:cNvPicPr>
                  </pic:nvPicPr>
                  <pic:blipFill>
                    <a:blip r:embed="rId7"/>
                    <a:srcRect l="9623" t="14857" r="8406" b="6418"/>
                    <a:stretch>
                      <a:fillRect/>
                    </a:stretch>
                  </pic:blipFill>
                  <pic:spPr>
                    <a:xfrm>
                      <a:off x="0" y="0"/>
                      <a:ext cx="7783195" cy="499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rFonts w:hint="eastAsia" w:ascii="微软雅黑" w:hAnsi="微软雅黑" w:eastAsia="微软雅黑" w:cs="微软雅黑"/>
          <w:b/>
          <w:bCs/>
          <w:color w:val="1D4686"/>
          <w:sz w:val="24"/>
          <w:szCs w:val="32"/>
          <w:lang w:val="en-US" w:eastAsia="zh-CN"/>
        </w:rPr>
      </w:pPr>
    </w:p>
    <w:p>
      <w:pPr>
        <w:pStyle w:val="3"/>
        <w:rPr>
          <w:rFonts w:hint="eastAsia" w:ascii="微软雅黑" w:hAnsi="微软雅黑" w:eastAsia="微软雅黑" w:cs="微软雅黑"/>
          <w:b/>
          <w:bCs/>
          <w:color w:val="1D4686"/>
          <w:sz w:val="24"/>
          <w:szCs w:val="32"/>
          <w:lang w:val="en-US" w:eastAsia="zh-CN"/>
        </w:rPr>
      </w:pPr>
    </w:p>
    <w:p>
      <w:pPr>
        <w:pStyle w:val="3"/>
        <w:rPr>
          <w:rFonts w:hint="eastAsia" w:ascii="微软雅黑" w:hAnsi="微软雅黑" w:eastAsia="微软雅黑" w:cs="微软雅黑"/>
          <w:b/>
          <w:bCs/>
          <w:color w:val="1D4686"/>
          <w:sz w:val="24"/>
          <w:szCs w:val="32"/>
          <w:lang w:val="en-US" w:eastAsia="zh-CN"/>
        </w:rPr>
      </w:pPr>
    </w:p>
    <w:p>
      <w:pPr>
        <w:pStyle w:val="3"/>
        <w:rPr>
          <w:rFonts w:hint="eastAsia" w:ascii="微软雅黑" w:hAnsi="微软雅黑" w:eastAsia="微软雅黑" w:cs="微软雅黑"/>
          <w:b/>
          <w:bCs/>
          <w:color w:val="1D4686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1D4686"/>
          <w:sz w:val="24"/>
          <w:szCs w:val="32"/>
          <w:lang w:val="en-US" w:eastAsia="zh-CN"/>
        </w:rPr>
        <w:t>产品介绍</w:t>
      </w:r>
    </w:p>
    <w:p>
      <w:pPr>
        <w:pStyle w:val="3"/>
        <w:rPr>
          <w:rFonts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  <w:t>GL-800多参数水质分析仪，测定项目的原理符合环保行业认可方法。设备的光源、传感器等核心部件为国外进口</w:t>
      </w:r>
      <w:r>
        <w:rPr>
          <w:rFonts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  <w:t>拥有更稳定的光学性能。设备</w:t>
      </w:r>
      <w:r>
        <w:rPr>
          <w:rFonts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</w:rPr>
        <w:t>搭载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  <w:t>专利技术“</w:t>
      </w:r>
      <w:r>
        <w:rPr>
          <w:rFonts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</w:rPr>
        <w:t>Glos水质智能检测系统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  <w:lang w:eastAsia="zh-CN"/>
        </w:rPr>
        <w:t>”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  <w:lang w:eastAsia="zh-CN"/>
        </w:rPr>
        <w:t>“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  <w:t>动态光学矢量控制系统”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  <w:t>让检测变得简单智能</w:t>
      </w:r>
      <w:r>
        <w:rPr>
          <w:rFonts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</w:rPr>
        <w:t>。产品内置水质分析、光度测量、自建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  <w:t>系数</w:t>
      </w:r>
      <w:r>
        <w:rPr>
          <w:rFonts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</w:rPr>
        <w:t>曲线、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  <w:t>自建标样</w:t>
      </w:r>
      <w:r>
        <w:rPr>
          <w:rFonts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</w:rPr>
        <w:t>曲线、数据打印、批量检测、引导检测模式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  <w:t>等</w:t>
      </w:r>
      <w:r>
        <w:rPr>
          <w:rFonts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</w:rPr>
        <w:t>多种应用程序。</w:t>
      </w:r>
    </w:p>
    <w:p>
      <w:pPr>
        <w:pStyle w:val="3"/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</w:pPr>
    </w:p>
    <w:p>
      <w:pPr>
        <w:pStyle w:val="3"/>
        <w:rPr>
          <w:rFonts w:hint="eastAsia" w:ascii="微软雅黑" w:hAnsi="微软雅黑" w:eastAsia="微软雅黑" w:cs="微软雅黑"/>
          <w:b/>
          <w:bCs/>
          <w:color w:val="1D4686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1D4686"/>
          <w:sz w:val="24"/>
          <w:szCs w:val="32"/>
          <w:lang w:val="en-US" w:eastAsia="zh-CN"/>
        </w:rPr>
        <w:t>应用领域</w:t>
      </w:r>
    </w:p>
    <w:p>
      <w:pPr>
        <w:pStyle w:val="3"/>
        <w:rPr>
          <w:rFonts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</w:rPr>
      </w:pPr>
      <w:r>
        <w:rPr>
          <w:rFonts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</w:rPr>
        <w:t>可广泛应用于科研院所、污水工程、水环境检测、石油化工、冶金钢铁、生物医药、食品乳业、毛纺印染、电子机械、水产养殖、光伏、皮革、造纸、等领域的水质检测。  </w:t>
      </w:r>
    </w:p>
    <w:p>
      <w:pPr>
        <w:pStyle w:val="3"/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</w:pPr>
    </w:p>
    <w:p>
      <w:pPr>
        <w:pStyle w:val="11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测定原理</w:t>
      </w:r>
    </w:p>
    <w:p>
      <w:pPr>
        <w:pStyle w:val="3"/>
        <w:rPr>
          <w:rFonts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</w:rPr>
      </w:pPr>
      <w:r>
        <w:rPr>
          <w:rFonts w:ascii="Verdana" w:hAnsi="Verdana" w:eastAsia="微软雅黑" w:cs="Verdana"/>
          <w:i w:val="0"/>
          <w:caps w:val="0"/>
          <w:color w:val="004EA2"/>
          <w:spacing w:val="60"/>
          <w:kern w:val="0"/>
          <w:sz w:val="12"/>
          <w:szCs w:val="12"/>
          <w:shd w:val="clear" w:fill="FFFFFF"/>
          <w:lang w:val="en-US" w:eastAsia="zh-CN" w:bidi="ar"/>
        </w:rPr>
        <w:t>•</w:t>
      </w:r>
      <w:r>
        <w:rPr>
          <w:rFonts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</w:rPr>
        <w:t>COD的测定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  <w:t>依据</w:t>
      </w:r>
      <w:r>
        <w:rPr>
          <w:rFonts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</w:rPr>
        <w:t>《HJ/T 399-2007水质 化学需氧量 快速消解分光光度法》</w:t>
      </w:r>
    </w:p>
    <w:p>
      <w:pPr>
        <w:pStyle w:val="3"/>
        <w:rPr>
          <w:rFonts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</w:rPr>
      </w:pPr>
      <w:r>
        <w:rPr>
          <w:rFonts w:ascii="Verdana" w:hAnsi="Verdana" w:eastAsia="微软雅黑" w:cs="Verdana"/>
          <w:i w:val="0"/>
          <w:caps w:val="0"/>
          <w:color w:val="004EA2"/>
          <w:spacing w:val="60"/>
          <w:kern w:val="0"/>
          <w:sz w:val="12"/>
          <w:szCs w:val="12"/>
          <w:shd w:val="clear" w:fill="FFFFFF"/>
          <w:lang w:val="en-US" w:eastAsia="zh-CN" w:bidi="ar"/>
        </w:rPr>
        <w:t>•</w:t>
      </w:r>
      <w:r>
        <w:rPr>
          <w:rFonts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</w:rPr>
        <w:t>氨氮的测定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  <w:t>依据</w:t>
      </w:r>
      <w:r>
        <w:rPr>
          <w:rFonts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</w:rPr>
        <w:t>《HJ 535-2009 水质 氨氮的测定 纳氏试剂分光光度法》</w:t>
      </w:r>
    </w:p>
    <w:p>
      <w:pPr>
        <w:pStyle w:val="3"/>
        <w:rPr>
          <w:rFonts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</w:rPr>
      </w:pPr>
      <w:r>
        <w:rPr>
          <w:rFonts w:ascii="Verdana" w:hAnsi="Verdana" w:eastAsia="微软雅黑" w:cs="Verdana"/>
          <w:i w:val="0"/>
          <w:caps w:val="0"/>
          <w:color w:val="004EA2"/>
          <w:spacing w:val="60"/>
          <w:kern w:val="0"/>
          <w:sz w:val="12"/>
          <w:szCs w:val="12"/>
          <w:shd w:val="clear" w:fill="FFFFFF"/>
          <w:lang w:val="en-US" w:eastAsia="zh-CN" w:bidi="ar"/>
        </w:rPr>
        <w:t>•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  <w:t>总磷的测定依据</w:t>
      </w:r>
      <w:r>
        <w:rPr>
          <w:rFonts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</w:rPr>
        <w:t>《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  <w:instrText xml:space="preserve"> HYPERLINK "https://www.baidu.com/link?url=J78FZfpWXT3qJN5P6DPq9Vd0nVIG7J38m0lKrOJfMZTBnuvxIbr62xJBAwyPdzOoZPS1Tieo-7Y3h1X8deqrba&amp;wd=&amp;eqid=a8b97db000003394000000025e5dbf33" \t "https://www.baidu.com/_blank" </w:instrTex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  <w:t>GB 11893-89水质总磷的测定 钼酸铵分光光度法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  <w:fldChar w:fldCharType="end"/>
      </w:r>
      <w:r>
        <w:rPr>
          <w:rFonts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</w:rPr>
        <w:t>》</w:t>
      </w:r>
    </w:p>
    <w:p>
      <w:pPr>
        <w:pStyle w:val="3"/>
        <w:rPr>
          <w:rFonts w:hint="default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</w:pPr>
      <w:r>
        <w:rPr>
          <w:rFonts w:ascii="Verdana" w:hAnsi="Verdana" w:eastAsia="微软雅黑" w:cs="Verdana"/>
          <w:i w:val="0"/>
          <w:caps w:val="0"/>
          <w:color w:val="004EA2"/>
          <w:spacing w:val="60"/>
          <w:kern w:val="0"/>
          <w:sz w:val="12"/>
          <w:szCs w:val="12"/>
          <w:shd w:val="clear" w:fill="FFFFFF"/>
          <w:lang w:val="en-US" w:eastAsia="zh-CN" w:bidi="ar"/>
        </w:rPr>
        <w:t>•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  <w:t>总氮的测定依据</w:t>
      </w:r>
      <w:r>
        <w:rPr>
          <w:rFonts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</w:rPr>
        <w:t>《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</w:rPr>
        <w:t>碱性过硫酸盐消解光度法</w:t>
      </w:r>
      <w:r>
        <w:rPr>
          <w:rFonts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</w:rPr>
        <w:t>》</w:t>
      </w:r>
    </w:p>
    <w:p>
      <w:pPr>
        <w:pStyle w:val="3"/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</w:pP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</w:rPr>
      </w:pPr>
      <w:r>
        <w:rPr>
          <w:rStyle w:val="9"/>
          <w:rFonts w:hint="eastAsia" w:ascii="微软雅黑" w:hAnsi="微软雅黑" w:eastAsia="微软雅黑" w:cs="微软雅黑"/>
          <w:i w:val="0"/>
          <w:caps w:val="0"/>
          <w:color w:val="1D4686"/>
          <w:spacing w:val="0"/>
          <w:sz w:val="24"/>
          <w:szCs w:val="24"/>
          <w:shd w:val="clear" w:fill="FFFFFF"/>
          <w:lang w:val="en-US" w:eastAsia="zh-CN"/>
        </w:rPr>
        <w:t>产品特点</w:t>
      </w: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16"/>
          <w:szCs w:val="16"/>
          <w:shd w:val="clear" w:fill="FFFFFF"/>
        </w:rPr>
        <w:br w:type="textWrapping"/>
      </w:r>
      <w:r>
        <w:rPr>
          <w:rFonts w:ascii="Verdana" w:hAnsi="Verdana" w:eastAsia="微软雅黑" w:cs="Verdana"/>
          <w:i w:val="0"/>
          <w:caps w:val="0"/>
          <w:color w:val="004EA2"/>
          <w:spacing w:val="60"/>
          <w:kern w:val="0"/>
          <w:sz w:val="12"/>
          <w:szCs w:val="12"/>
          <w:shd w:val="clear" w:fill="FFFFFF"/>
          <w:lang w:val="en-US" w:eastAsia="zh-CN" w:bidi="ar"/>
        </w:rPr>
        <w:t>•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  <w:t>进口固态冷光源10万小时光学寿命，性能稳定，检测结果准确。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</w:rPr>
      </w:pPr>
      <w:r>
        <w:rPr>
          <w:rFonts w:hint="default" w:ascii="Verdana" w:hAnsi="Verdana" w:eastAsia="微软雅黑" w:cs="Verdana"/>
          <w:i w:val="0"/>
          <w:caps w:val="0"/>
          <w:color w:val="004EA2"/>
          <w:spacing w:val="60"/>
          <w:kern w:val="0"/>
          <w:sz w:val="12"/>
          <w:szCs w:val="12"/>
          <w:shd w:val="clear" w:fill="FFFFFF"/>
          <w:lang w:val="en-US" w:eastAsia="zh-CN" w:bidi="ar"/>
        </w:rPr>
        <w:t>•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  <w:t>支持COD、氨氮、总磷、总氮、等多种水质污染物的测定。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</w:rPr>
      </w:pPr>
      <w:r>
        <w:rPr>
          <w:rFonts w:hint="default" w:ascii="Verdana" w:hAnsi="Verdana" w:eastAsia="微软雅黑" w:cs="Verdana"/>
          <w:i w:val="0"/>
          <w:caps w:val="0"/>
          <w:color w:val="004EA2"/>
          <w:spacing w:val="60"/>
          <w:kern w:val="0"/>
          <w:sz w:val="12"/>
          <w:szCs w:val="12"/>
          <w:shd w:val="clear" w:fill="FFFFFF"/>
          <w:lang w:val="en-US" w:eastAsia="zh-CN" w:bidi="ar"/>
        </w:rPr>
        <w:t>•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  <w:t>内置动态光学矢量控制系统，最大支持14组滤光通道自动切换。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</w:pPr>
      <w:r>
        <w:rPr>
          <w:rFonts w:hint="default" w:ascii="Verdana" w:hAnsi="Verdana" w:eastAsia="微软雅黑" w:cs="Verdana"/>
          <w:i w:val="0"/>
          <w:caps w:val="0"/>
          <w:color w:val="004EA2"/>
          <w:spacing w:val="60"/>
          <w:kern w:val="0"/>
          <w:sz w:val="12"/>
          <w:szCs w:val="12"/>
          <w:shd w:val="clear" w:fill="FFFFFF"/>
          <w:lang w:val="en-US" w:eastAsia="zh-CN" w:bidi="ar"/>
        </w:rPr>
        <w:t>•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  <w:t>搭载自主研发Glos水质智能检测系统，让检测更简单智能。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微软雅黑" w:hAnsi="微软雅黑" w:eastAsia="微软雅黑" w:cs="微软雅黑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</w:pPr>
      <w:r>
        <w:rPr>
          <w:rFonts w:hint="default" w:ascii="Verdana" w:hAnsi="Verdana" w:eastAsia="微软雅黑" w:cs="Verdana"/>
          <w:i w:val="0"/>
          <w:caps w:val="0"/>
          <w:color w:val="004EA2"/>
          <w:spacing w:val="60"/>
          <w:kern w:val="0"/>
          <w:sz w:val="12"/>
          <w:szCs w:val="12"/>
          <w:shd w:val="clear" w:fill="FFFFFF"/>
          <w:lang w:val="en-US" w:eastAsia="zh-CN" w:bidi="ar"/>
        </w:rPr>
        <w:t>•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  <w:t>引导式操作，扁平式UI设计使用者初次上手便能轻松完成污染物检测。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</w:rPr>
      </w:pPr>
      <w:r>
        <w:rPr>
          <w:rFonts w:hint="default" w:ascii="Verdana" w:hAnsi="Verdana" w:eastAsia="微软雅黑" w:cs="Verdana"/>
          <w:i w:val="0"/>
          <w:caps w:val="0"/>
          <w:color w:val="004EA2"/>
          <w:spacing w:val="60"/>
          <w:kern w:val="0"/>
          <w:sz w:val="12"/>
          <w:szCs w:val="12"/>
          <w:shd w:val="clear" w:fill="FFFFFF"/>
          <w:lang w:val="en-US" w:eastAsia="zh-CN" w:bidi="ar"/>
        </w:rPr>
        <w:t>•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  <w:t>检测结果自动打印、批量检测、引导检测模式等功能。   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</w:pPr>
      <w:r>
        <w:rPr>
          <w:rFonts w:hint="default" w:ascii="Verdana" w:hAnsi="Verdana" w:eastAsia="微软雅黑" w:cs="Verdana"/>
          <w:i w:val="0"/>
          <w:caps w:val="0"/>
          <w:color w:val="004EA2"/>
          <w:spacing w:val="60"/>
          <w:kern w:val="0"/>
          <w:sz w:val="12"/>
          <w:szCs w:val="12"/>
          <w:shd w:val="clear" w:fill="FFFFFF"/>
          <w:lang w:val="en-US" w:eastAsia="zh-CN" w:bidi="ar"/>
        </w:rPr>
        <w:t>•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  <w:t>搭配双比色池，同时支持（16mm）管比色和多规格皿比色。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</w:rPr>
      </w:pPr>
      <w:r>
        <w:rPr>
          <w:rFonts w:hint="default" w:ascii="Verdana" w:hAnsi="Verdana" w:eastAsia="微软雅黑" w:cs="Verdana"/>
          <w:i w:val="0"/>
          <w:caps w:val="0"/>
          <w:color w:val="004EA2"/>
          <w:spacing w:val="60"/>
          <w:kern w:val="0"/>
          <w:sz w:val="12"/>
          <w:szCs w:val="12"/>
          <w:shd w:val="clear" w:fill="FFFFFF"/>
          <w:lang w:val="en-US" w:eastAsia="zh-CN" w:bidi="ar"/>
        </w:rPr>
        <w:t>•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  <w:t>开放自建曲线功能，用户可实现自建曲线，系数曲线或样品曲线。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</w:rPr>
      </w:pPr>
      <w:r>
        <w:rPr>
          <w:rFonts w:hint="default" w:ascii="Verdana" w:hAnsi="Verdana" w:eastAsia="微软雅黑" w:cs="Verdana"/>
          <w:i w:val="0"/>
          <w:caps w:val="0"/>
          <w:color w:val="004EA2"/>
          <w:spacing w:val="60"/>
          <w:kern w:val="0"/>
          <w:sz w:val="12"/>
          <w:szCs w:val="12"/>
          <w:shd w:val="clear" w:fill="FFFFFF"/>
          <w:lang w:val="en-US" w:eastAsia="zh-CN" w:bidi="ar"/>
        </w:rPr>
        <w:t>•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  <w:t>8 英寸1024 ×768 分辨率IPS级高清电容触摸屏。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</w:rPr>
      </w:pPr>
      <w:r>
        <w:rPr>
          <w:rFonts w:hint="default" w:ascii="Verdana" w:hAnsi="Verdana" w:eastAsia="微软雅黑" w:cs="Verdana"/>
          <w:i w:val="0"/>
          <w:caps w:val="0"/>
          <w:color w:val="004EA2"/>
          <w:spacing w:val="60"/>
          <w:kern w:val="0"/>
          <w:sz w:val="12"/>
          <w:szCs w:val="12"/>
          <w:shd w:val="clear" w:fill="FFFFFF"/>
          <w:lang w:val="en-US" w:eastAsia="zh-CN" w:bidi="ar"/>
        </w:rPr>
        <w:t>•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  <w:t>点触操作立体声反馈，弹指间更舒适的操作体验。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</w:rPr>
      </w:pPr>
      <w:r>
        <w:rPr>
          <w:rFonts w:hint="default" w:ascii="Verdana" w:hAnsi="Verdana" w:eastAsia="微软雅黑" w:cs="Verdana"/>
          <w:i w:val="0"/>
          <w:caps w:val="0"/>
          <w:color w:val="004EA2"/>
          <w:spacing w:val="60"/>
          <w:kern w:val="0"/>
          <w:sz w:val="12"/>
          <w:szCs w:val="12"/>
          <w:shd w:val="clear" w:fill="FFFFFF"/>
          <w:lang w:val="en-US" w:eastAsia="zh-CN" w:bidi="ar"/>
        </w:rPr>
        <w:t>•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  <w:t>ABS材质，高强度、耐腐蚀、耐高温外壳。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</w:rPr>
      </w:pPr>
      <w:r>
        <w:rPr>
          <w:rFonts w:hint="default" w:ascii="Verdana" w:hAnsi="Verdana" w:eastAsia="微软雅黑" w:cs="Verdana"/>
          <w:i w:val="0"/>
          <w:caps w:val="0"/>
          <w:color w:val="004EA2"/>
          <w:spacing w:val="60"/>
          <w:kern w:val="0"/>
          <w:sz w:val="12"/>
          <w:szCs w:val="12"/>
          <w:shd w:val="clear" w:fill="FFFFFF"/>
          <w:lang w:val="en-US" w:eastAsia="zh-CN" w:bidi="ar"/>
        </w:rPr>
        <w:t>•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  <w:t>配备GL-16型多功能智能消解仪，仅需一键完成项目消解。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</w:rPr>
      </w:pPr>
      <w:r>
        <w:rPr>
          <w:rFonts w:hint="default" w:ascii="Verdana" w:hAnsi="Verdana" w:eastAsia="微软雅黑" w:cs="Verdana"/>
          <w:i w:val="0"/>
          <w:caps w:val="0"/>
          <w:color w:val="004EA2"/>
          <w:spacing w:val="60"/>
          <w:kern w:val="0"/>
          <w:sz w:val="12"/>
          <w:szCs w:val="12"/>
          <w:shd w:val="clear" w:fill="FFFFFF"/>
          <w:lang w:val="en-US" w:eastAsia="zh-CN" w:bidi="ar"/>
        </w:rPr>
        <w:t>•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  <w:t>配备进口Biohit移液器，减少了移取水样的误差，更简单，更稳定。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</w:rPr>
      </w:pPr>
      <w:r>
        <w:rPr>
          <w:rFonts w:hint="default" w:ascii="Verdana" w:hAnsi="Verdana" w:eastAsia="微软雅黑" w:cs="Verdana"/>
          <w:i w:val="0"/>
          <w:caps w:val="0"/>
          <w:color w:val="004EA2"/>
          <w:spacing w:val="60"/>
          <w:kern w:val="0"/>
          <w:sz w:val="12"/>
          <w:szCs w:val="12"/>
          <w:shd w:val="clear" w:fill="FFFFFF"/>
          <w:lang w:val="en-US" w:eastAsia="zh-CN" w:bidi="ar"/>
        </w:rPr>
        <w:t>•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  <w:t>配备预制试剂，无需反复移液，只需要在试管内添加污染物样品再经过消解即可进行检测。</w:t>
      </w:r>
    </w:p>
    <w:p>
      <w:pPr>
        <w:pStyle w:val="3"/>
        <w:rPr>
          <w:rFonts w:hint="eastAsia" w:ascii="微软雅黑" w:hAnsi="微软雅黑" w:eastAsia="微软雅黑" w:cs="微软雅黑"/>
          <w:i w:val="0"/>
          <w:caps w:val="0"/>
          <w:color w:val="3F3F3F"/>
          <w:spacing w:val="0"/>
          <w:sz w:val="19"/>
          <w:szCs w:val="19"/>
          <w:shd w:val="clear" w:fill="FFFFFF"/>
          <w:lang w:val="en-US" w:eastAsia="zh-CN"/>
        </w:rPr>
      </w:pPr>
    </w:p>
    <w:p>
      <w:pPr>
        <w:pStyle w:val="3"/>
        <w:rPr>
          <w:rFonts w:hint="eastAsia" w:ascii="微软雅黑" w:hAnsi="微软雅黑" w:eastAsia="微软雅黑" w:cs="微软雅黑"/>
          <w:i w:val="0"/>
          <w:caps w:val="0"/>
          <w:color w:val="3F3F3F"/>
          <w:spacing w:val="0"/>
          <w:sz w:val="19"/>
          <w:szCs w:val="19"/>
          <w:shd w:val="clear" w:fill="FFFFFF"/>
          <w:lang w:val="en-US" w:eastAsia="zh-CN"/>
        </w:rPr>
      </w:pPr>
    </w:p>
    <w:p>
      <w:pPr>
        <w:pStyle w:val="3"/>
        <w:rPr>
          <w:rFonts w:hint="eastAsia" w:ascii="微软雅黑" w:hAnsi="微软雅黑" w:eastAsia="微软雅黑" w:cs="微软雅黑"/>
          <w:i w:val="0"/>
          <w:caps w:val="0"/>
          <w:color w:val="3F3F3F"/>
          <w:spacing w:val="0"/>
          <w:sz w:val="19"/>
          <w:szCs w:val="19"/>
          <w:shd w:val="clear" w:fill="FFFFFF"/>
          <w:lang w:val="en-US" w:eastAsia="zh-CN"/>
        </w:rPr>
      </w:pPr>
    </w:p>
    <w:p>
      <w:pPr>
        <w:pStyle w:val="3"/>
        <w:rPr>
          <w:rFonts w:hint="eastAsia" w:ascii="微软雅黑" w:hAnsi="微软雅黑" w:eastAsia="微软雅黑" w:cs="微软雅黑"/>
          <w:i w:val="0"/>
          <w:caps w:val="0"/>
          <w:color w:val="3F3F3F"/>
          <w:spacing w:val="0"/>
          <w:sz w:val="19"/>
          <w:szCs w:val="19"/>
          <w:shd w:val="clear" w:fill="FFFFFF"/>
          <w:lang w:val="en-US" w:eastAsia="zh-CN"/>
        </w:rPr>
      </w:pPr>
    </w:p>
    <w:p>
      <w:pPr>
        <w:pStyle w:val="3"/>
        <w:rPr>
          <w:rFonts w:hint="eastAsia" w:ascii="微软雅黑" w:hAnsi="微软雅黑" w:eastAsia="微软雅黑" w:cs="微软雅黑"/>
          <w:i w:val="0"/>
          <w:caps w:val="0"/>
          <w:color w:val="3F3F3F"/>
          <w:spacing w:val="0"/>
          <w:sz w:val="19"/>
          <w:szCs w:val="19"/>
          <w:shd w:val="clear" w:fill="FFFFFF"/>
          <w:lang w:val="en-US" w:eastAsia="zh-CN"/>
        </w:rPr>
      </w:pPr>
    </w:p>
    <w:p>
      <w:pPr>
        <w:pStyle w:val="3"/>
        <w:rPr>
          <w:rFonts w:hint="eastAsia" w:ascii="微软雅黑" w:hAnsi="微软雅黑" w:eastAsia="微软雅黑" w:cs="微软雅黑"/>
          <w:b/>
          <w:bCs/>
          <w:i w:val="0"/>
          <w:caps w:val="0"/>
          <w:color w:val="1D4686"/>
          <w:spacing w:val="0"/>
          <w:sz w:val="24"/>
          <w:szCs w:val="24"/>
          <w:shd w:val="clear" w:fill="FFFFFF"/>
          <w:lang w:val="en-US" w:eastAsia="zh-CN"/>
        </w:rPr>
      </w:pPr>
    </w:p>
    <w:p>
      <w:pPr>
        <w:pStyle w:val="3"/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10"/>
          <w:szCs w:val="10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1D4686"/>
          <w:spacing w:val="0"/>
          <w:sz w:val="24"/>
          <w:szCs w:val="24"/>
          <w:shd w:val="clear" w:fill="FFFFFF"/>
          <w:lang w:val="en-US" w:eastAsia="zh-CN"/>
        </w:rPr>
        <w:t>技术参数</w:t>
      </w: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16"/>
          <w:szCs w:val="16"/>
          <w:shd w:val="clear" w:fill="FFFFFF"/>
          <w:lang w:val="en-US" w:eastAsia="zh-CN"/>
        </w:rPr>
        <w:t xml:space="preserve"> </w:t>
      </w:r>
    </w:p>
    <w:tbl>
      <w:tblPr>
        <w:tblStyle w:val="6"/>
        <w:tblpPr w:leftFromText="180" w:rightFromText="180" w:vertAnchor="text" w:horzAnchor="page" w:tblpX="1808" w:tblpY="337"/>
        <w:tblOverlap w:val="never"/>
        <w:tblW w:w="8976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1"/>
        <w:gridCol w:w="1808"/>
        <w:gridCol w:w="1860"/>
        <w:gridCol w:w="1860"/>
        <w:gridCol w:w="2367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08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产品型号</w:t>
            </w:r>
          </w:p>
        </w:tc>
        <w:tc>
          <w:tcPr>
            <w:tcW w:w="7895" w:type="dxa"/>
            <w:gridSpan w:val="4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GL-800型  多参数水质分析仪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08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检测参数</w:t>
            </w:r>
          </w:p>
        </w:tc>
        <w:tc>
          <w:tcPr>
            <w:tcW w:w="180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COD</w:t>
            </w:r>
          </w:p>
        </w:tc>
        <w:tc>
          <w:tcPr>
            <w:tcW w:w="186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氨氮</w:t>
            </w:r>
          </w:p>
        </w:tc>
        <w:tc>
          <w:tcPr>
            <w:tcW w:w="186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总磷</w:t>
            </w:r>
          </w:p>
        </w:tc>
        <w:tc>
          <w:tcPr>
            <w:tcW w:w="236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总氮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08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测量标准</w:t>
            </w:r>
          </w:p>
        </w:tc>
        <w:tc>
          <w:tcPr>
            <w:tcW w:w="180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HJ/T399-2007</w:t>
            </w:r>
          </w:p>
        </w:tc>
        <w:tc>
          <w:tcPr>
            <w:tcW w:w="186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HJ535-2009</w:t>
            </w:r>
          </w:p>
        </w:tc>
        <w:tc>
          <w:tcPr>
            <w:tcW w:w="186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GB11893-89</w:t>
            </w:r>
          </w:p>
        </w:tc>
        <w:tc>
          <w:tcPr>
            <w:tcW w:w="236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  <w:shd w:val="clear" w:fill="FFFFFF"/>
              </w:rPr>
              <w:t>碱性过硫酸盐消解光度法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08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测量范围</w:t>
            </w:r>
          </w:p>
        </w:tc>
        <w:tc>
          <w:tcPr>
            <w:tcW w:w="180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0-15000mg/L</w:t>
            </w:r>
          </w:p>
        </w:tc>
        <w:tc>
          <w:tcPr>
            <w:tcW w:w="186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0-50mg/L</w:t>
            </w:r>
          </w:p>
        </w:tc>
        <w:tc>
          <w:tcPr>
            <w:tcW w:w="186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0-16mg/L</w:t>
            </w:r>
          </w:p>
        </w:tc>
        <w:tc>
          <w:tcPr>
            <w:tcW w:w="236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0-250mg/L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</w:tblPrEx>
        <w:trPr>
          <w:trHeight w:val="460" w:hRule="atLeast"/>
        </w:trPr>
        <w:tc>
          <w:tcPr>
            <w:tcW w:w="108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抗氯干扰</w:t>
            </w:r>
          </w:p>
        </w:tc>
        <w:tc>
          <w:tcPr>
            <w:tcW w:w="180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2000mg/L</w:t>
            </w:r>
          </w:p>
        </w:tc>
        <w:tc>
          <w:tcPr>
            <w:tcW w:w="6087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－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08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检测下限</w:t>
            </w:r>
          </w:p>
        </w:tc>
        <w:tc>
          <w:tcPr>
            <w:tcW w:w="180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5mg/L</w:t>
            </w:r>
          </w:p>
        </w:tc>
        <w:tc>
          <w:tcPr>
            <w:tcW w:w="186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0.05mg/L</w:t>
            </w:r>
          </w:p>
        </w:tc>
        <w:tc>
          <w:tcPr>
            <w:tcW w:w="186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0.02mg/L</w:t>
            </w:r>
          </w:p>
        </w:tc>
        <w:tc>
          <w:tcPr>
            <w:tcW w:w="236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0.05mg/L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08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消解温度</w:t>
            </w:r>
          </w:p>
        </w:tc>
        <w:tc>
          <w:tcPr>
            <w:tcW w:w="180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165℃，20min</w:t>
            </w:r>
          </w:p>
        </w:tc>
        <w:tc>
          <w:tcPr>
            <w:tcW w:w="186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无需消解</w:t>
            </w:r>
          </w:p>
        </w:tc>
        <w:tc>
          <w:tcPr>
            <w:tcW w:w="186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150℃，15min</w:t>
            </w:r>
          </w:p>
        </w:tc>
        <w:tc>
          <w:tcPr>
            <w:tcW w:w="236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120℃，30min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08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检测时间</w:t>
            </w:r>
          </w:p>
        </w:tc>
        <w:tc>
          <w:tcPr>
            <w:tcW w:w="180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25分钟/批次</w:t>
            </w:r>
          </w:p>
        </w:tc>
        <w:tc>
          <w:tcPr>
            <w:tcW w:w="186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5分钟/批次</w:t>
            </w:r>
          </w:p>
        </w:tc>
        <w:tc>
          <w:tcPr>
            <w:tcW w:w="186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20分钟/批次</w:t>
            </w:r>
          </w:p>
        </w:tc>
        <w:tc>
          <w:tcPr>
            <w:tcW w:w="236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35分钟/批次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08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重复性</w:t>
            </w:r>
          </w:p>
        </w:tc>
        <w:tc>
          <w:tcPr>
            <w:tcW w:w="7895" w:type="dxa"/>
            <w:gridSpan w:val="4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≤± 3％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08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示值误差</w:t>
            </w:r>
          </w:p>
        </w:tc>
        <w:tc>
          <w:tcPr>
            <w:tcW w:w="7895" w:type="dxa"/>
            <w:gridSpan w:val="4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≤± 5％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08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光学稳定性</w:t>
            </w:r>
          </w:p>
        </w:tc>
        <w:tc>
          <w:tcPr>
            <w:tcW w:w="7895" w:type="dxa"/>
            <w:gridSpan w:val="4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≤±0.001Abs/20分钟（10万小时寿命）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08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比色方式</w:t>
            </w:r>
          </w:p>
        </w:tc>
        <w:tc>
          <w:tcPr>
            <w:tcW w:w="7895" w:type="dxa"/>
            <w:gridSpan w:val="4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双比色池，同时支持（16mm）管比色和多规格皿比色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08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打印机</w:t>
            </w:r>
          </w:p>
        </w:tc>
        <w:tc>
          <w:tcPr>
            <w:tcW w:w="7895" w:type="dxa"/>
            <w:gridSpan w:val="4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微型热敏打印机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08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操作系统</w:t>
            </w:r>
          </w:p>
        </w:tc>
        <w:tc>
          <w:tcPr>
            <w:tcW w:w="7895" w:type="dxa"/>
            <w:gridSpan w:val="4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搭载Glos水质智能检测系统 专利技术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08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屏幕显示</w:t>
            </w:r>
          </w:p>
        </w:tc>
        <w:tc>
          <w:tcPr>
            <w:tcW w:w="7895" w:type="dxa"/>
            <w:gridSpan w:val="4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8 英寸1024 ×768 分辨率IPS级高清电容触摸屏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08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设备功能</w:t>
            </w:r>
          </w:p>
        </w:tc>
        <w:tc>
          <w:tcPr>
            <w:tcW w:w="7895" w:type="dxa"/>
            <w:gridSpan w:val="4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水质分析、光度测量、数据管理、自建系数曲线、自建标样曲线、PC联机、USB升级等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08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仪器电源</w:t>
            </w:r>
          </w:p>
        </w:tc>
        <w:tc>
          <w:tcPr>
            <w:tcW w:w="7895" w:type="dxa"/>
            <w:gridSpan w:val="4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AC（220V±5%），50Hz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08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工作环境</w:t>
            </w:r>
          </w:p>
        </w:tc>
        <w:tc>
          <w:tcPr>
            <w:tcW w:w="7895" w:type="dxa"/>
            <w:gridSpan w:val="4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5-40℃，≤85%无冷凝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08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仪器尺寸</w:t>
            </w:r>
          </w:p>
        </w:tc>
        <w:tc>
          <w:tcPr>
            <w:tcW w:w="7895" w:type="dxa"/>
            <w:gridSpan w:val="4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  <w:shd w:val="clear" w:fill="FFFFFF"/>
              </w:rPr>
              <w:t>470mm×348mm×181mm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08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仪器重量</w:t>
            </w:r>
          </w:p>
        </w:tc>
        <w:tc>
          <w:tcPr>
            <w:tcW w:w="7895" w:type="dxa"/>
            <w:gridSpan w:val="4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8.6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kg</w:t>
            </w:r>
          </w:p>
        </w:tc>
      </w:tr>
    </w:tbl>
    <w:p>
      <w:pPr>
        <w:pStyle w:val="3"/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16"/>
          <w:szCs w:val="16"/>
          <w:shd w:val="clear" w:fill="FFFFFF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outlineLvl w:val="0"/>
        <w:rPr>
          <w:rFonts w:hint="eastAsia" w:ascii="微软雅黑" w:hAnsi="微软雅黑" w:eastAsia="微软雅黑" w:cs="微软雅黑"/>
          <w:b/>
          <w:bCs/>
          <w:color w:val="0D0D0D" w:themeColor="text1" w:themeTint="F2"/>
          <w:sz w:val="36"/>
          <w:szCs w:val="4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outlineLvl w:val="0"/>
        <w:rPr>
          <w:rFonts w:hint="eastAsia" w:ascii="微软雅黑" w:hAnsi="微软雅黑" w:eastAsia="微软雅黑" w:cs="微软雅黑"/>
          <w:b/>
          <w:bCs/>
          <w:color w:val="0D0D0D" w:themeColor="text1" w:themeTint="F2"/>
          <w:sz w:val="36"/>
          <w:szCs w:val="4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pStyle w:val="11"/>
        <w:bidi w:val="0"/>
        <w:rPr>
          <w:rFonts w:hint="eastAsia"/>
          <w:lang w:val="en-US" w:eastAsia="zh-CN"/>
        </w:rPr>
      </w:pPr>
    </w:p>
    <w:p>
      <w:pPr>
        <w:pStyle w:val="11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以下检测项目并非全部搭载到本仪器</w:t>
      </w:r>
    </w:p>
    <w:p>
      <w:pPr>
        <w:pStyle w:val="11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可根据客户需求定制检测项目</w:t>
      </w:r>
    </w:p>
    <w:tbl>
      <w:tblPr>
        <w:tblStyle w:val="6"/>
        <w:tblpPr w:leftFromText="180" w:rightFromText="180" w:vertAnchor="page" w:horzAnchor="page" w:tblpX="1797" w:tblpY="2472"/>
        <w:tblOverlap w:val="never"/>
        <w:tblW w:w="897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"/>
        <w:gridCol w:w="2880"/>
        <w:gridCol w:w="480"/>
        <w:gridCol w:w="2700"/>
        <w:gridCol w:w="480"/>
        <w:gridCol w:w="207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2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</w:pPr>
            <w:r>
              <w:rPr>
                <w:rFonts w:hint="eastAsia"/>
                <w:lang w:val="en-US" w:eastAsia="zh-CN"/>
              </w:rPr>
              <w:t>ＣOD（0-15000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18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余氯（0-10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35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镉（0.005-0.5 mg/L）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氨氮（0-50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19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总余氯（0-10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36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钴（0-2 mg/L）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2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总磷（0-16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六价铬（0-1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37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硼（0.1-3 mg/L）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2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总氮（0-250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21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总铬(0-1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38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锰（0-16 mg/L）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2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色度（0-500 PCU）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22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总砷（0-0.5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39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钛（0.01-0.6 mg/L）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2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浊度（0-100 NTU）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23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二氧化硅（0.25-25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40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钒（0.018-10 mg/L）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2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悬浮物（0-500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24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二氧化硫（0.05-5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41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铝（0.05-0.3 mg/L）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2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硫化物（0-1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25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二氧化氯（0-3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42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砷（0.005-0.5 mg/L）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2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挥发酚（0-2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26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氯离子（0.1-25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43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锑（0.01-3.5 mg/L）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2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氰化物（0-0.5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27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苯胺（0.001-2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44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钡（2-100 mg/L）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2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氟化物（0-1.6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28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磷酸根（0.05-5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45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铅（0.05-2 mg/L）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2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高锰酸盐指数（0-20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29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甲醛（0.005-3.5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46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锡（0.01-0.5 mg/L）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2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亚硝酸盐（0-0.2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30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铜（0-1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47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铍（0.005-0.5 mg/L）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14</w:t>
            </w:r>
          </w:p>
        </w:tc>
        <w:tc>
          <w:tcPr>
            <w:tcW w:w="2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硝酸盐氮（0-20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31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镍（0-4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15</w:t>
            </w:r>
          </w:p>
        </w:tc>
        <w:tc>
          <w:tcPr>
            <w:tcW w:w="2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硫酸盐（8-200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32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铁（0-5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16</w:t>
            </w:r>
          </w:p>
        </w:tc>
        <w:tc>
          <w:tcPr>
            <w:tcW w:w="2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磷酸盐（0-1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33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锌（0-3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17</w:t>
            </w:r>
          </w:p>
        </w:tc>
        <w:tc>
          <w:tcPr>
            <w:tcW w:w="2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阴离子表面活性剂（0-2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34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银（0-1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</w:p>
        </w:tc>
      </w:tr>
    </w:tbl>
    <w:p>
      <w:pPr>
        <w:pStyle w:val="12"/>
        <w:bidi w:val="0"/>
        <w:rPr>
          <w:rFonts w:hint="eastAsia"/>
          <w:lang w:val="en-US" w:eastAsia="zh-CN"/>
        </w:rPr>
        <w:sectPr>
          <w:headerReference r:id="rId3" w:type="default"/>
          <w:footerReference r:id="rId4" w:type="default"/>
          <w:cols w:space="0" w:num="1"/>
        </w:sectPr>
      </w:pPr>
    </w:p>
    <w:p>
      <w:pPr>
        <w:pStyle w:val="11"/>
        <w:bidi w:val="0"/>
        <w:rPr>
          <w:rFonts w:hint="default"/>
          <w:lang w:val="en-US" w:eastAsia="zh-CN"/>
        </w:rPr>
      </w:pPr>
    </w:p>
    <w:tbl>
      <w:tblPr>
        <w:tblStyle w:val="7"/>
        <w:tblpPr w:leftFromText="180" w:rightFromText="180" w:vertAnchor="page" w:horzAnchor="page" w:tblpX="1909" w:tblpY="9350"/>
        <w:tblOverlap w:val="never"/>
        <w:tblW w:w="89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8"/>
        <w:gridCol w:w="5730"/>
        <w:gridCol w:w="26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648" w:type="dxa"/>
            <w:vAlign w:val="top"/>
          </w:tcPr>
          <w:p>
            <w:pPr>
              <w:pStyle w:val="12"/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序号</w:t>
            </w:r>
          </w:p>
        </w:tc>
        <w:tc>
          <w:tcPr>
            <w:tcW w:w="5730" w:type="dxa"/>
            <w:vAlign w:val="top"/>
          </w:tcPr>
          <w:p>
            <w:pPr>
              <w:pStyle w:val="12"/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名称</w:t>
            </w:r>
          </w:p>
        </w:tc>
        <w:tc>
          <w:tcPr>
            <w:tcW w:w="2602" w:type="dxa"/>
            <w:vAlign w:val="top"/>
          </w:tcPr>
          <w:p>
            <w:pPr>
              <w:pStyle w:val="12"/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648" w:type="dxa"/>
            <w:vAlign w:val="top"/>
          </w:tcPr>
          <w:p>
            <w:pPr>
              <w:pStyle w:val="12"/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5730" w:type="dxa"/>
            <w:vAlign w:val="bottom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</w:rPr>
              <w:t>主机</w:t>
            </w:r>
          </w:p>
        </w:tc>
        <w:tc>
          <w:tcPr>
            <w:tcW w:w="2602" w:type="dxa"/>
            <w:vAlign w:val="bottom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</w:rPr>
              <w:t>1 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648" w:type="dxa"/>
            <w:vAlign w:val="top"/>
          </w:tcPr>
          <w:p>
            <w:pPr>
              <w:pStyle w:val="12"/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5730" w:type="dxa"/>
            <w:vAlign w:val="bottom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</w:rPr>
              <w:t>电源线</w:t>
            </w:r>
          </w:p>
        </w:tc>
        <w:tc>
          <w:tcPr>
            <w:tcW w:w="2602" w:type="dxa"/>
            <w:vAlign w:val="bottom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</w:rPr>
              <w:t>1 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648" w:type="dxa"/>
            <w:vAlign w:val="top"/>
          </w:tcPr>
          <w:p>
            <w:pPr>
              <w:pStyle w:val="12"/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5730" w:type="dxa"/>
            <w:vAlign w:val="bottom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  <w:t>专用</w:t>
            </w:r>
            <w:r>
              <w:rPr>
                <w:rFonts w:hint="eastAsia" w:ascii="微软雅黑" w:hAnsi="微软雅黑" w:eastAsia="微软雅黑" w:cs="微软雅黑"/>
                <w:sz w:val="19"/>
                <w:szCs w:val="19"/>
              </w:rPr>
              <w:t>试剂</w:t>
            </w:r>
          </w:p>
        </w:tc>
        <w:tc>
          <w:tcPr>
            <w:tcW w:w="2602" w:type="dxa"/>
            <w:vAlign w:val="bottom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  <w:t>各</w:t>
            </w:r>
            <w:r>
              <w:rPr>
                <w:rFonts w:hint="eastAsia" w:ascii="微软雅黑" w:hAnsi="微软雅黑" w:eastAsia="微软雅黑" w:cs="微软雅黑"/>
                <w:sz w:val="19"/>
                <w:szCs w:val="19"/>
              </w:rPr>
              <w:t>1 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648" w:type="dxa"/>
            <w:vAlign w:val="top"/>
          </w:tcPr>
          <w:p>
            <w:pPr>
              <w:pStyle w:val="12"/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5730" w:type="dxa"/>
            <w:vAlign w:val="bottom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</w:rPr>
              <w:t>试管架</w:t>
            </w:r>
          </w:p>
        </w:tc>
        <w:tc>
          <w:tcPr>
            <w:tcW w:w="2602" w:type="dxa"/>
            <w:vAlign w:val="bottom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</w:rPr>
              <w:t>1 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648" w:type="dxa"/>
            <w:vAlign w:val="top"/>
          </w:tcPr>
          <w:p>
            <w:pPr>
              <w:pStyle w:val="12"/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5730" w:type="dxa"/>
            <w:vAlign w:val="bottom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</w:rPr>
              <w:t>擦拭布</w:t>
            </w:r>
          </w:p>
        </w:tc>
        <w:tc>
          <w:tcPr>
            <w:tcW w:w="2602" w:type="dxa"/>
            <w:vAlign w:val="bottom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</w:rPr>
              <w:t>2 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648" w:type="dxa"/>
            <w:vAlign w:val="top"/>
          </w:tcPr>
          <w:p>
            <w:pPr>
              <w:pStyle w:val="12"/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5730" w:type="dxa"/>
            <w:vAlign w:val="bottom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  <w:t>消解比色管</w:t>
            </w:r>
          </w:p>
        </w:tc>
        <w:tc>
          <w:tcPr>
            <w:tcW w:w="2602" w:type="dxa"/>
            <w:vAlign w:val="bottom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  <w:t>18</w:t>
            </w:r>
            <w:r>
              <w:rPr>
                <w:rFonts w:hint="eastAsia" w:ascii="微软雅黑" w:hAnsi="微软雅黑" w:eastAsia="微软雅黑" w:cs="微软雅黑"/>
                <w:sz w:val="19"/>
                <w:szCs w:val="19"/>
              </w:rPr>
              <w:t xml:space="preserve"> 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648" w:type="dxa"/>
            <w:vAlign w:val="top"/>
          </w:tcPr>
          <w:p>
            <w:pPr>
              <w:pStyle w:val="12"/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5730" w:type="dxa"/>
            <w:vAlign w:val="bottom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</w:rPr>
              <w:t>手套</w:t>
            </w:r>
          </w:p>
        </w:tc>
        <w:tc>
          <w:tcPr>
            <w:tcW w:w="2602" w:type="dxa"/>
            <w:vAlign w:val="bottom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  <w:t>2双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648" w:type="dxa"/>
            <w:vAlign w:val="top"/>
          </w:tcPr>
          <w:p>
            <w:pPr>
              <w:pStyle w:val="12"/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5730" w:type="dxa"/>
            <w:vAlign w:val="bottom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</w:rPr>
              <w:t>稀释</w:t>
            </w:r>
            <w:r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  <w:t>杯</w:t>
            </w:r>
          </w:p>
        </w:tc>
        <w:tc>
          <w:tcPr>
            <w:tcW w:w="2602" w:type="dxa"/>
            <w:vAlign w:val="bottom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sz w:val="19"/>
                <w:szCs w:val="19"/>
              </w:rPr>
              <w:t>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648" w:type="dxa"/>
            <w:vAlign w:val="top"/>
          </w:tcPr>
          <w:p>
            <w:pPr>
              <w:pStyle w:val="12"/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5730" w:type="dxa"/>
            <w:vAlign w:val="bottom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</w:rPr>
              <w:t>棕色瓶</w:t>
            </w:r>
          </w:p>
        </w:tc>
        <w:tc>
          <w:tcPr>
            <w:tcW w:w="2602" w:type="dxa"/>
            <w:vAlign w:val="bottom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</w:rPr>
              <w:t>1 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648" w:type="dxa"/>
            <w:vAlign w:val="top"/>
          </w:tcPr>
          <w:p>
            <w:pPr>
              <w:pStyle w:val="12"/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5730" w:type="dxa"/>
            <w:vAlign w:val="bottom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</w:rPr>
              <w:t>使用说明书</w:t>
            </w:r>
          </w:p>
        </w:tc>
        <w:tc>
          <w:tcPr>
            <w:tcW w:w="2602" w:type="dxa"/>
            <w:vAlign w:val="bottom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</w:rPr>
              <w:t>1 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648" w:type="dxa"/>
            <w:vAlign w:val="top"/>
          </w:tcPr>
          <w:p>
            <w:pPr>
              <w:pStyle w:val="12"/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5730" w:type="dxa"/>
            <w:vAlign w:val="bottom"/>
          </w:tcPr>
          <w:p>
            <w:pPr>
              <w:jc w:val="center"/>
              <w:rPr>
                <w:rFonts w:hint="default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  <w:t>合格证</w:t>
            </w:r>
          </w:p>
        </w:tc>
        <w:tc>
          <w:tcPr>
            <w:tcW w:w="2602" w:type="dxa"/>
            <w:vAlign w:val="bottom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  <w:t>1台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648" w:type="dxa"/>
            <w:vAlign w:val="top"/>
          </w:tcPr>
          <w:p>
            <w:pPr>
              <w:pStyle w:val="12"/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5730" w:type="dxa"/>
            <w:vAlign w:val="bottom"/>
          </w:tcPr>
          <w:p>
            <w:pPr>
              <w:jc w:val="center"/>
              <w:rPr>
                <w:rFonts w:hint="default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  <w:t>专用移液器</w:t>
            </w:r>
          </w:p>
        </w:tc>
        <w:tc>
          <w:tcPr>
            <w:tcW w:w="2602" w:type="dxa"/>
            <w:vAlign w:val="bottom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  <w:t>1支</w:t>
            </w:r>
          </w:p>
        </w:tc>
      </w:tr>
    </w:tbl>
    <w:p>
      <w:pPr>
        <w:pStyle w:val="3"/>
        <w:rPr>
          <w:rFonts w:hint="eastAsia" w:eastAsia="宋体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1D4686"/>
          <w:spacing w:val="0"/>
          <w:sz w:val="24"/>
          <w:szCs w:val="24"/>
          <w:shd w:val="clear" w:fill="FFFFFF"/>
          <w:lang w:val="en-US" w:eastAsia="zh-CN"/>
        </w:rPr>
        <w:t>发货清单</w:t>
      </w: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16"/>
          <w:szCs w:val="16"/>
          <w:shd w:val="clear" w:fill="FFFFFF"/>
          <w:lang w:val="en-US" w:eastAsia="zh-CN"/>
        </w:rPr>
        <w:t xml:space="preserve">  </w:t>
      </w:r>
    </w:p>
    <w:sectPr>
      <w:type w:val="continuous"/>
      <w:cols w:space="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left" w:pos="640"/>
      </w:tabs>
      <w:jc w:val="center"/>
      <w:rPr>
        <w:rFonts w:hint="eastAsia" w:ascii="微软雅黑" w:hAnsi="微软雅黑" w:eastAsia="微软雅黑" w:cs="微软雅黑"/>
        <w:b w:val="0"/>
        <w:bCs w:val="0"/>
        <w:color w:val="FFFFFF" w:themeColor="background1"/>
        <w:sz w:val="21"/>
        <w:szCs w:val="21"/>
        <w:lang w:val="en-US" w:eastAsia="zh-CN"/>
        <w14:textFill>
          <w14:solidFill>
            <w14:schemeClr w14:val="bg1"/>
          </w14:solidFill>
        </w14:textFill>
      </w:rPr>
    </w:pPr>
    <w:r>
      <w:rPr>
        <w:color w:val="FFFFFF" w:themeColor="background1"/>
        <w:sz w:val="19"/>
        <w14:textFill>
          <w14:solidFill>
            <w14:schemeClr w14:val="bg1"/>
          </w14:solidFill>
        </w14:textFill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-1361440</wp:posOffset>
              </wp:positionH>
              <wp:positionV relativeFrom="paragraph">
                <wp:posOffset>-360680</wp:posOffset>
              </wp:positionV>
              <wp:extent cx="8013065" cy="1915160"/>
              <wp:effectExtent l="0" t="0" r="3175" b="0"/>
              <wp:wrapNone/>
              <wp:docPr id="15" name="组合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13065" cy="1915160"/>
                        <a:chOff x="5559" y="6271"/>
                        <a:chExt cx="12619" cy="3016"/>
                      </a:xfrm>
                    </wpg:grpSpPr>
                    <wps:wsp>
                      <wps:cNvPr id="12" name="任意多边形 12"/>
                      <wps:cNvSpPr/>
                      <wps:spPr>
                        <a:xfrm rot="300000" flipH="1">
                          <a:off x="5673" y="6271"/>
                          <a:ext cx="12505" cy="3016"/>
                        </a:xfrm>
                        <a:custGeom>
                          <a:avLst/>
                          <a:gdLst>
                            <a:gd name="connsiteX0" fmla="*/ 98 w 12226"/>
                            <a:gd name="connsiteY0" fmla="*/ 29 h 2675"/>
                            <a:gd name="connsiteX1" fmla="*/ 12226 w 12226"/>
                            <a:gd name="connsiteY1" fmla="*/ 1055 h 2675"/>
                            <a:gd name="connsiteX2" fmla="*/ 12226 w 12226"/>
                            <a:gd name="connsiteY2" fmla="*/ 2675 h 2675"/>
                            <a:gd name="connsiteX3" fmla="*/ 0 w 12226"/>
                            <a:gd name="connsiteY3" fmla="*/ 1493 h 2675"/>
                            <a:gd name="connsiteX4" fmla="*/ 98 w 12226"/>
                            <a:gd name="connsiteY4" fmla="*/ 29 h 2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226" h="2675">
                              <a:moveTo>
                                <a:pt x="98" y="29"/>
                              </a:moveTo>
                              <a:cubicBezTo>
                                <a:pt x="3742" y="-277"/>
                                <a:pt x="8146" y="1955"/>
                                <a:pt x="12226" y="1055"/>
                              </a:cubicBezTo>
                              <a:lnTo>
                                <a:pt x="12226" y="2675"/>
                              </a:lnTo>
                              <a:lnTo>
                                <a:pt x="0" y="1493"/>
                              </a:lnTo>
                              <a:lnTo>
                                <a:pt x="98" y="29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7EBEFF"/>
                            </a:gs>
                            <a:gs pos="59000">
                              <a:srgbClr val="7EBEFF"/>
                            </a:gs>
                            <a:gs pos="100000">
                              <a:srgbClr val="7EBEFF"/>
                            </a:gs>
                          </a:gsLst>
                        </a:gradFill>
                        <a:effectLst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3" name="任意多边形 11"/>
                      <wps:cNvSpPr/>
                      <wps:spPr>
                        <a:xfrm flipH="1">
                          <a:off x="5559" y="6801"/>
                          <a:ext cx="12607" cy="2119"/>
                        </a:xfrm>
                        <a:custGeom>
                          <a:avLst/>
                          <a:gdLst>
                            <a:gd name="connsiteX0" fmla="*/ 0 w 12239"/>
                            <a:gd name="connsiteY0" fmla="*/ 260 h 1879"/>
                            <a:gd name="connsiteX1" fmla="*/ 12239 w 12239"/>
                            <a:gd name="connsiteY1" fmla="*/ 260 h 1879"/>
                            <a:gd name="connsiteX2" fmla="*/ 12239 w 12239"/>
                            <a:gd name="connsiteY2" fmla="*/ 1880 h 1879"/>
                            <a:gd name="connsiteX3" fmla="*/ 0 w 12239"/>
                            <a:gd name="connsiteY3" fmla="*/ 1880 h 1879"/>
                            <a:gd name="connsiteX4" fmla="*/ 0 w 12239"/>
                            <a:gd name="connsiteY4" fmla="*/ 260 h 18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239" h="1880">
                              <a:moveTo>
                                <a:pt x="0" y="260"/>
                              </a:moveTo>
                              <a:cubicBezTo>
                                <a:pt x="4080" y="-640"/>
                                <a:pt x="8159" y="1160"/>
                                <a:pt x="12239" y="260"/>
                              </a:cubicBezTo>
                              <a:lnTo>
                                <a:pt x="12239" y="1880"/>
                              </a:lnTo>
                              <a:lnTo>
                                <a:pt x="0" y="1880"/>
                              </a:lnTo>
                              <a:lnTo>
                                <a:pt x="0" y="26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0A2751"/>
                            </a:gs>
                            <a:gs pos="50000">
                              <a:srgbClr val="183E78"/>
                            </a:gs>
                            <a:gs pos="100000">
                              <a:srgbClr val="1D4686"/>
                            </a:gs>
                          </a:gsLst>
                          <a:lin ang="10800000"/>
                        </a:gradFill>
                        <a:effectLst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-107.2pt;margin-top:-28.4pt;height:150.8pt;width:630.95pt;z-index:-251656192;mso-width-relative:page;mso-height-relative:page;" coordorigin="5559,6271" coordsize="12619,3016" o:gfxdata="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">
              <o:lock v:ext="edit" aspectratio="f"/>
              <v:shape id="_x0000_s1026" o:spid="_x0000_s1026" o:spt="100" style="position:absolute;left:5673;top:6271;flip:x;height:3016;width:12505;rotation:-327680f;v-text-anchor:middle;" fillcolor="#7EBEFF" filled="t" stroked="f" coordsize="12226,2675" o:gfxdata="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HDpIugAAANsA&#10;AAAPAAAAAAAAAAEAIAAAACIAAABkcnMvZG93bnJldi54bWxQSwECFAAUAAAACACHTuJAMy8FnjsA&#10;AAA5AAAAEAAAAAAAAAABACAAAAAJAQAAZHJzL3NoYXBleG1sLnhtbFBLBQYAAAAABgAGAFsBAACz&#10;AwAAAAA=&#10;" path="m98,29c3742,-277,8146,1955,12226,1055l12226,2675,0,1493,98,29xe">
                <v:path o:connectlocs="100,32;12505,1189;12505,3016;0,1683;100,32" o:connectangles="0,0,0,0,0"/>
                <v:fill type="gradient" on="t" color2="#7EBEFF" angle="90" focus="5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shape>
              <v:shape id="任意多边形 11" o:spid="_x0000_s1026" o:spt="100" style="position:absolute;left:5559;top:6801;flip:x;height:2119;width:12607;v-text-anchor:middle;" fillcolor="#0A2751" filled="t" stroked="f" coordsize="12239,1880" o:gfxdata="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1j98augAAANsA&#10;AAAPAAAAAAAAAAEAIAAAACIAAABkcnMvZG93bnJldi54bWxQSwECFAAUAAAACACHTuJAMy8FnjsA&#10;AAA5AAAAEAAAAAAAAAABACAAAAAJAQAAZHJzL3NoYXBleG1sLnhtbFBLBQYAAAAABgAGAFsBAACz&#10;AwAAAAA=&#10;" path="m0,260c4080,-640,8159,1160,12239,260l12239,1880,0,1880,0,260xe">
                <v:path o:connectlocs="0,293;12607,293;12607,2120;0,2120;0,293" o:connectangles="0,0,0,0,0"/>
                <v:fill type="gradient" on="t" color2="#1D4686" colors="0f #0A2751;32768f #183E78;65536f #1D4686" angle="270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shape>
            </v:group>
          </w:pict>
        </mc:Fallback>
      </mc:AlternateContent>
    </w:r>
  </w:p>
  <w:p>
    <w:pPr>
      <w:pStyle w:val="4"/>
      <w:tabs>
        <w:tab w:val="left" w:pos="640"/>
      </w:tabs>
      <w:jc w:val="right"/>
      <w:rPr>
        <w:rFonts w:hint="eastAsia" w:ascii="微软雅黑" w:hAnsi="微软雅黑" w:eastAsia="微软雅黑" w:cs="微软雅黑"/>
        <w:b w:val="0"/>
        <w:bCs w:val="0"/>
        <w:color w:val="FFFFFF" w:themeColor="background1"/>
        <w:sz w:val="21"/>
        <w:szCs w:val="21"/>
        <w:lang w:val="en-US" w:eastAsia="zh-CN"/>
        <w14:textFill>
          <w14:solidFill>
            <w14:schemeClr w14:val="bg1"/>
          </w14:solidFill>
        </w14:textFill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2755900</wp:posOffset>
              </wp:positionH>
              <wp:positionV relativeFrom="paragraph">
                <wp:posOffset>132080</wp:posOffset>
              </wp:positionV>
              <wp:extent cx="3622040" cy="57658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161280" y="9408795"/>
                        <a:ext cx="3622040" cy="5765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tabs>
                              <w:tab w:val="left" w:pos="640"/>
                            </w:tabs>
                            <w:jc w:val="right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1"/>
                              <w:szCs w:val="2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1"/>
                              <w:szCs w:val="2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山东格林凯瑞精密仪器有限公司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  </w:t>
                          </w:r>
                        </w:p>
                        <w:p>
                          <w:pPr>
                            <w:pStyle w:val="4"/>
                            <w:tabs>
                              <w:tab w:val="left" w:pos="640"/>
                            </w:tabs>
                            <w:jc w:val="right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全国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1"/>
                              <w:szCs w:val="2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服务热线：400-6658-616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  网址：www.cncod.cn</w:t>
                          </w:r>
                        </w:p>
                        <w:p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17pt;margin-top:10.4pt;height:45.4pt;width:285.2pt;z-index:251661312;mso-width-relative:page;mso-height-relative:page;" filled="f" stroked="f" coordsize="21600,21600" o:gfxdata="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ehlea2QAAAAsBAAAPAAAAAAAAAAEAIAAAACIAAABkcnMvZG93bnJldi54bWxQSwECFAAUAAAA&#10;CACHTuJAwRr4myYCAAAjBAAADgAAAAAAAAABACAAAAAoAQAAZHJzL2Uyb0RvYy54bWxQSwUGAAAA&#10;AAYABgBZAQAAwAUAAAAA&#10;">
              <v:fill on="f" focussize="0,0"/>
              <v:stroke on="f" weight="0pt"/>
              <v:imagedata o:title=""/>
              <o:lock v:ext="edit" aspectratio="f"/>
              <v:textbox>
                <w:txbxContent>
                  <w:p>
                    <w:pPr>
                      <w:pStyle w:val="4"/>
                      <w:tabs>
                        <w:tab w:val="left" w:pos="640"/>
                      </w:tabs>
                      <w:jc w:val="right"/>
                      <w:rPr>
                        <w:rFonts w:hint="eastAsia" w:ascii="微软雅黑" w:hAnsi="微软雅黑" w:eastAsia="微软雅黑" w:cs="微软雅黑"/>
                        <w:b w:val="0"/>
                        <w:bCs w:val="0"/>
                        <w:color w:val="FFFFFF" w:themeColor="background1"/>
                        <w:sz w:val="21"/>
                        <w:szCs w:val="21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 w:val="0"/>
                        <w:bCs w:val="0"/>
                        <w:color w:val="FFFFFF" w:themeColor="background1"/>
                        <w:sz w:val="21"/>
                        <w:szCs w:val="2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山东格林凯瑞精密仪器有限公司</w:t>
                    </w:r>
                    <w:r>
                      <w:rPr>
                        <w:rFonts w:hint="eastAsia" w:ascii="微软雅黑" w:hAnsi="微软雅黑" w:eastAsia="微软雅黑" w:cs="微软雅黑"/>
                        <w:b w:val="0"/>
                        <w:bCs w:val="0"/>
                        <w:color w:val="FFFFFF" w:themeColor="background1"/>
                        <w:sz w:val="21"/>
                        <w:szCs w:val="21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  </w:t>
                    </w:r>
                  </w:p>
                  <w:p>
                    <w:pPr>
                      <w:pStyle w:val="4"/>
                      <w:tabs>
                        <w:tab w:val="left" w:pos="640"/>
                      </w:tabs>
                      <w:jc w:val="right"/>
                      <w:rPr>
                        <w:rFonts w:hint="eastAsia" w:ascii="微软雅黑" w:hAnsi="微软雅黑" w:eastAsia="微软雅黑" w:cs="微软雅黑"/>
                        <w:b w:val="0"/>
                        <w:bCs w:val="0"/>
                        <w:color w:val="FFFFFF" w:themeColor="background1"/>
                        <w:sz w:val="21"/>
                        <w:szCs w:val="21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 w:val="0"/>
                        <w:bCs w:val="0"/>
                        <w:color w:val="FFFFFF" w:themeColor="background1"/>
                        <w:sz w:val="21"/>
                        <w:szCs w:val="21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全国</w:t>
                    </w:r>
                    <w:r>
                      <w:rPr>
                        <w:rFonts w:hint="eastAsia" w:ascii="微软雅黑" w:hAnsi="微软雅黑" w:eastAsia="微软雅黑" w:cs="微软雅黑"/>
                        <w:b w:val="0"/>
                        <w:bCs w:val="0"/>
                        <w:color w:val="FFFFFF" w:themeColor="background1"/>
                        <w:sz w:val="21"/>
                        <w:szCs w:val="2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服务热线：400-6658-616</w:t>
                    </w:r>
                    <w:r>
                      <w:rPr>
                        <w:rFonts w:hint="eastAsia" w:ascii="微软雅黑" w:hAnsi="微软雅黑" w:eastAsia="微软雅黑" w:cs="微软雅黑"/>
                        <w:b w:val="0"/>
                        <w:bCs w:val="0"/>
                        <w:color w:val="FFFFFF" w:themeColor="background1"/>
                        <w:sz w:val="21"/>
                        <w:szCs w:val="21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  网址：www.cncod.cn</w:t>
                    </w:r>
                  </w:p>
                  <w:p/>
                </w:txbxContent>
              </v:textbox>
            </v:shape>
          </w:pict>
        </mc:Fallback>
      </mc:AlternateContent>
    </w:r>
  </w:p>
  <w:p>
    <w:pPr>
      <w:pStyle w:val="4"/>
      <w:jc w:val="right"/>
      <w:rPr>
        <w:color w:val="FFFFFF" w:themeColor="background1"/>
        <w14:textFill>
          <w14:solidFill>
            <w14:schemeClr w14:val="bg1"/>
          </w14:solidFill>
        </w14:textFill>
      </w:rPr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/>
        <w:sz w:val="44"/>
        <w:szCs w:val="44"/>
        <w:lang w:eastAsia="zh-CN"/>
      </w:rPr>
      <w:drawing>
        <wp:anchor distT="0" distB="0" distL="114300" distR="114300" simplePos="0" relativeHeight="251738112" behindDoc="0" locked="0" layoutInCell="1" allowOverlap="1">
          <wp:simplePos x="0" y="0"/>
          <wp:positionH relativeFrom="column">
            <wp:posOffset>4617720</wp:posOffset>
          </wp:positionH>
          <wp:positionV relativeFrom="page">
            <wp:posOffset>245745</wp:posOffset>
          </wp:positionV>
          <wp:extent cx="1610995" cy="787400"/>
          <wp:effectExtent l="0" t="0" r="0" b="0"/>
          <wp:wrapNone/>
          <wp:docPr id="2" name="图片 2" descr="未标题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未标题-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0995" cy="7874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7331DE"/>
    <w:rsid w:val="03893E2A"/>
    <w:rsid w:val="10B042A3"/>
    <w:rsid w:val="12551F81"/>
    <w:rsid w:val="17C13FE0"/>
    <w:rsid w:val="20802770"/>
    <w:rsid w:val="3B8312FB"/>
    <w:rsid w:val="400F46BF"/>
    <w:rsid w:val="463A49EA"/>
    <w:rsid w:val="510914E8"/>
    <w:rsid w:val="511B0439"/>
    <w:rsid w:val="51A350E5"/>
    <w:rsid w:val="54D62060"/>
    <w:rsid w:val="552F6FD9"/>
    <w:rsid w:val="58AE3F82"/>
    <w:rsid w:val="5BDB617B"/>
    <w:rsid w:val="5CA8036A"/>
    <w:rsid w:val="5D996635"/>
    <w:rsid w:val="5F312D94"/>
    <w:rsid w:val="61192E40"/>
    <w:rsid w:val="6BFA482C"/>
    <w:rsid w:val="6ED7739D"/>
    <w:rsid w:val="7A443F20"/>
    <w:rsid w:val="7A6C10E5"/>
    <w:rsid w:val="7B7331DE"/>
    <w:rsid w:val="7EDB7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qFormat/>
    <w:uiPriority w:val="0"/>
    <w:rPr>
      <w:rFonts w:ascii="宋体" w:hAnsi="Courier New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paragraph" w:customStyle="1" w:styleId="11">
    <w:name w:val="小标题"/>
    <w:basedOn w:val="3"/>
    <w:qFormat/>
    <w:uiPriority w:val="0"/>
    <w:rPr>
      <w:rFonts w:ascii="微软雅黑" w:hAnsi="微软雅黑" w:eastAsia="微软雅黑" w:cs="微软雅黑"/>
      <w:b/>
      <w:color w:val="1D4686"/>
      <w:sz w:val="24"/>
    </w:rPr>
  </w:style>
  <w:style w:type="paragraph" w:customStyle="1" w:styleId="12">
    <w:name w:val="格林正文"/>
    <w:basedOn w:val="3"/>
    <w:qFormat/>
    <w:uiPriority w:val="0"/>
    <w:rPr>
      <w:rFonts w:ascii="微软雅黑" w:hAnsi="微软雅黑" w:eastAsia="微软雅黑" w:cs="微软雅黑"/>
      <w:color w:val="3F3F3F"/>
      <w:sz w:val="19"/>
      <w:szCs w:val="19"/>
    </w:rPr>
  </w:style>
  <w:style w:type="paragraph" w:customStyle="1" w:styleId="13">
    <w:name w:val="产品名称"/>
    <w:basedOn w:val="1"/>
    <w:qFormat/>
    <w:uiPriority w:val="0"/>
    <w:rPr>
      <w:rFonts w:ascii="微软雅黑" w:hAnsi="微软雅黑" w:eastAsia="微软雅黑" w:cs="微软雅黑"/>
      <w:b/>
      <w:bCs/>
      <w:color w:val="1D4686"/>
      <w:sz w:val="40"/>
      <w:szCs w:val="4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1497</Words>
  <Characters>2124</Characters>
  <Lines>0</Lines>
  <Paragraphs>0</Paragraphs>
  <TotalTime>96</TotalTime>
  <ScaleCrop>false</ScaleCrop>
  <LinksUpToDate>false</LinksUpToDate>
  <CharactersWithSpaces>2207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2020-02-06T13:06:00Z</dcterms:created>
  <dc:creator>王一</dc:creator>
  <cp:lastModifiedBy>财务工作号</cp:lastModifiedBy>
  <cp:lastPrinted>2020-03-04T04:40:00Z</cp:lastPrinted>
  <dcterms:modified xsi:type="dcterms:W3CDTF">2020-06-06T08:18:23Z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