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AF" w:rsidRDefault="0012151A">
      <w:pPr>
        <w:autoSpaceDE w:val="0"/>
        <w:autoSpaceDN w:val="0"/>
        <w:jc w:val="left"/>
        <w:rPr>
          <w:rFonts w:ascii="宋体" w:eastAsiaTheme="minorEastAsia" w:hAnsi="宋体"/>
          <w:b/>
          <w:color w:val="C00000"/>
          <w:sz w:val="72"/>
          <w:szCs w:val="72"/>
        </w:rPr>
      </w:pPr>
      <w:r>
        <w:rPr>
          <w:rFonts w:ascii="宋体" w:eastAsiaTheme="minorEastAsia" w:hAnsi="宋体" w:hint="eastAsia"/>
          <w:b/>
          <w:color w:val="C00000"/>
          <w:sz w:val="72"/>
          <w:szCs w:val="72"/>
        </w:rPr>
        <w:t>东北石油大学国家大学科技园</w:t>
      </w:r>
    </w:p>
    <w:p w:rsidR="005271AF" w:rsidRDefault="00647F11">
      <w:pPr>
        <w:autoSpaceDE w:val="0"/>
        <w:autoSpaceDN w:val="0"/>
        <w:ind w:left="361" w:hanging="361"/>
        <w:jc w:val="center"/>
        <w:rPr>
          <w:rFonts w:asciiTheme="minorEastAsia" w:eastAsiaTheme="minorEastAsia" w:hAnsiTheme="minorEastAsia" w:cs="方正小标宋_GBK"/>
          <w:b/>
          <w:bCs/>
          <w:color w:val="000000"/>
          <w:sz w:val="36"/>
          <w:szCs w:val="36"/>
        </w:rPr>
      </w:pPr>
      <w:r w:rsidRPr="00647F11">
        <w:rPr>
          <w:rFonts w:eastAsia="Times New Roman"/>
          <w:color w:val="C00000"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4" o:spid="_x0000_s2054" type="#_x0000_t32" style="position:absolute;left:0;text-align:left;margin-left:-6.8pt;margin-top:8.1pt;width:484.8pt;height:0;z-index:251657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" strokecolor="#c00000" strokeweight="1.5pt">
            <v:stroke joinstyle="miter"/>
          </v:shape>
        </w:pict>
      </w:r>
    </w:p>
    <w:p w:rsidR="005271AF" w:rsidRDefault="00647F11">
      <w:pPr>
        <w:spacing w:line="700" w:lineRule="exact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647F11">
        <w:rPr>
          <w:rFonts w:ascii="方正小标宋_GBK" w:eastAsia="方正小标宋_GBK" w:hAnsi="方正小标宋_GBK" w:cs="方正小标宋_GBK"/>
          <w:bCs/>
          <w:sz w:val="44"/>
          <w:szCs w:val="44"/>
        </w:rPr>
        <w:pict>
          <v:shape id="_x0000_s2052" style="position:absolute;left:0;text-align:left;margin-left:-2pt;margin-top:10pt;width:484.8pt;height:0;z-index:251658240" coordsize="21600,21600" o:spt="100" o:allowoverlap="f" adj="0,,0" path="" filled="f" stroked="f">
            <v:stroke joinstyle="round"/>
            <v:formulas/>
            <v:path o:connecttype="segments"/>
            <v:textbox>
              <w:txbxContent>
                <w:p w:rsidR="005271AF" w:rsidRDefault="005271AF"/>
              </w:txbxContent>
            </v:textbox>
          </v:shape>
        </w:pict>
      </w:r>
      <w:r w:rsidR="0012151A">
        <w:rPr>
          <w:rFonts w:asciiTheme="minorEastAsia" w:eastAsiaTheme="minorEastAsia" w:hAnsiTheme="minorEastAsia" w:cs="方正小标宋_GBK" w:hint="eastAsia"/>
          <w:b/>
          <w:bCs/>
          <w:color w:val="000000"/>
          <w:sz w:val="36"/>
          <w:szCs w:val="36"/>
        </w:rPr>
        <w:t>关于邀请参加“2020石油化工行业分析检测</w:t>
      </w:r>
      <w:r w:rsidR="00C46B48">
        <w:rPr>
          <w:rFonts w:asciiTheme="minorEastAsia" w:eastAsiaTheme="minorEastAsia" w:hAnsiTheme="minorEastAsia" w:cs="方正小标宋_GBK" w:hint="eastAsia"/>
          <w:b/>
          <w:bCs/>
          <w:color w:val="000000"/>
          <w:sz w:val="36"/>
          <w:szCs w:val="36"/>
        </w:rPr>
        <w:t>技术</w:t>
      </w:r>
      <w:r w:rsidR="0012151A">
        <w:rPr>
          <w:rFonts w:asciiTheme="minorEastAsia" w:eastAsiaTheme="minorEastAsia" w:hAnsiTheme="minorEastAsia" w:cs="方正小标宋_GBK" w:hint="eastAsia"/>
          <w:b/>
          <w:bCs/>
          <w:color w:val="000000"/>
          <w:sz w:val="36"/>
          <w:szCs w:val="36"/>
        </w:rPr>
        <w:t>与安全仪表自动化控制系统</w:t>
      </w:r>
      <w:r w:rsidR="00C46B48">
        <w:rPr>
          <w:rFonts w:asciiTheme="minorEastAsia" w:eastAsiaTheme="minorEastAsia" w:hAnsiTheme="minorEastAsia" w:cs="方正小标宋_GBK" w:hint="eastAsia"/>
          <w:b/>
          <w:bCs/>
          <w:color w:val="000000"/>
          <w:sz w:val="36"/>
          <w:szCs w:val="36"/>
        </w:rPr>
        <w:t>论坛</w:t>
      </w:r>
      <w:r w:rsidR="0012151A">
        <w:rPr>
          <w:rFonts w:asciiTheme="minorEastAsia" w:eastAsiaTheme="minorEastAsia" w:hAnsiTheme="minorEastAsia" w:cs="方正小标宋_GBK" w:hint="eastAsia"/>
          <w:b/>
          <w:bCs/>
          <w:color w:val="000000"/>
          <w:sz w:val="36"/>
          <w:szCs w:val="36"/>
        </w:rPr>
        <w:t>”的通知</w:t>
      </w:r>
    </w:p>
    <w:p w:rsidR="005271AF" w:rsidRDefault="0012151A">
      <w:pPr>
        <w:autoSpaceDE w:val="0"/>
        <w:autoSpaceDN w:val="0"/>
        <w:spacing w:line="360" w:lineRule="auto"/>
        <w:jc w:val="left"/>
        <w:rPr>
          <w:rFonts w:ascii="宋体" w:eastAsia="宋体" w:hAnsi="宋体"/>
          <w:b/>
          <w:color w:val="000000"/>
          <w:sz w:val="24"/>
          <w:szCs w:val="24"/>
        </w:rPr>
      </w:pPr>
      <w:r>
        <w:rPr>
          <w:rFonts w:ascii="宋体" w:eastAsia="宋体" w:hAnsi="宋体"/>
          <w:b/>
          <w:color w:val="000000"/>
          <w:sz w:val="24"/>
          <w:szCs w:val="24"/>
        </w:rPr>
        <w:t>各有关单位：</w:t>
      </w:r>
    </w:p>
    <w:p w:rsidR="005271AF" w:rsidRDefault="0012151A">
      <w:pPr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为全面</w:t>
      </w:r>
      <w:r>
        <w:rPr>
          <w:rFonts w:asciiTheme="minorEastAsia" w:eastAsiaTheme="minorEastAsia" w:hAnsiTheme="minorEastAsia" w:hint="eastAsia"/>
          <w:sz w:val="24"/>
          <w:szCs w:val="24"/>
        </w:rPr>
        <w:t>贯彻</w:t>
      </w:r>
      <w:r>
        <w:rPr>
          <w:rFonts w:asciiTheme="minorEastAsia" w:eastAsiaTheme="minorEastAsia" w:hAnsiTheme="minorEastAsia"/>
          <w:sz w:val="24"/>
          <w:szCs w:val="24"/>
        </w:rPr>
        <w:t>和</w:t>
      </w:r>
      <w:r>
        <w:rPr>
          <w:rFonts w:asciiTheme="minorEastAsia" w:eastAsiaTheme="minorEastAsia" w:hAnsiTheme="minorEastAsia" w:cs="仿宋_GB2312" w:hint="eastAsia"/>
          <w:color w:val="333333"/>
          <w:sz w:val="24"/>
          <w:szCs w:val="24"/>
          <w:shd w:val="clear" w:color="auto" w:fill="FFFFFF"/>
        </w:rPr>
        <w:t>落实中国科协等各部委组织开展的“2020科技专家服务团”的各项相关工作</w:t>
      </w:r>
      <w:r>
        <w:rPr>
          <w:rFonts w:asciiTheme="minorEastAsia" w:eastAsiaTheme="minorEastAsia" w:hAnsiTheme="minor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也</w:t>
      </w:r>
      <w:r>
        <w:rPr>
          <w:rFonts w:asciiTheme="minorEastAsia" w:eastAsiaTheme="minorEastAsia" w:hAnsiTheme="minorEastAsia" w:cs="Arial" w:hint="eastAsia"/>
          <w:color w:val="333333"/>
          <w:sz w:val="24"/>
          <w:szCs w:val="24"/>
          <w:shd w:val="clear" w:color="auto" w:fill="FFFFFF"/>
        </w:rPr>
        <w:t>为</w:t>
      </w:r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振兴东北老工业基地，</w:t>
      </w:r>
      <w:r>
        <w:rPr>
          <w:rFonts w:asciiTheme="minorEastAsia" w:eastAsiaTheme="minorEastAsia" w:hAnsiTheme="minorEastAsia" w:cs="Arial" w:hint="eastAsia"/>
          <w:color w:val="333333"/>
          <w:sz w:val="24"/>
          <w:szCs w:val="24"/>
          <w:shd w:val="clear" w:color="auto" w:fill="FFFFFF"/>
        </w:rPr>
        <w:t>进一步发扬大庆精神，铁人精神，促进东北地区、大庆地区石油化工行业测量控制与仪器、仪表自动化技术的发展，依照黑龙江省大庆市做大“油头”延伸“化尾”转型发展理念，</w:t>
      </w:r>
      <w:r>
        <w:rPr>
          <w:rFonts w:asciiTheme="minorEastAsia" w:eastAsiaTheme="minorEastAsia" w:hAnsiTheme="minorEastAsia"/>
          <w:sz w:val="24"/>
          <w:szCs w:val="24"/>
        </w:rPr>
        <w:t>经调研、协商，</w:t>
      </w:r>
      <w:r w:rsidR="000C5338">
        <w:rPr>
          <w:rFonts w:asciiTheme="minorEastAsia" w:eastAsiaTheme="minorEastAsia" w:hAnsiTheme="minorEastAsia" w:hint="eastAsia"/>
          <w:sz w:val="24"/>
          <w:szCs w:val="24"/>
        </w:rPr>
        <w:t>东北石油大学国家大学科技园联合</w:t>
      </w:r>
      <w:r>
        <w:rPr>
          <w:rFonts w:asciiTheme="minorEastAsia" w:eastAsiaTheme="minorEastAsia" w:hAnsiTheme="minorEastAsia" w:hint="eastAsia"/>
          <w:sz w:val="24"/>
          <w:szCs w:val="24"/>
        </w:rPr>
        <w:t>中国仪器仪表学会拟</w:t>
      </w:r>
      <w:r>
        <w:rPr>
          <w:rFonts w:asciiTheme="minorEastAsia" w:eastAsiaTheme="minorEastAsia" w:hAnsiTheme="minorEastAsia"/>
          <w:sz w:val="24"/>
          <w:szCs w:val="24"/>
        </w:rPr>
        <w:t>定于20</w:t>
      </w:r>
      <w:r>
        <w:rPr>
          <w:rFonts w:asciiTheme="minorEastAsia" w:eastAsiaTheme="minorEastAsia" w:hAnsiTheme="minorEastAsia" w:hint="eastAsia"/>
          <w:sz w:val="24"/>
          <w:szCs w:val="24"/>
        </w:rPr>
        <w:t>20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12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/>
          <w:sz w:val="24"/>
          <w:szCs w:val="24"/>
        </w:rPr>
        <w:t>日-</w:t>
      </w: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/>
          <w:sz w:val="24"/>
          <w:szCs w:val="24"/>
        </w:rPr>
        <w:t>日在</w:t>
      </w:r>
      <w:r>
        <w:rPr>
          <w:rFonts w:asciiTheme="minorEastAsia" w:eastAsiaTheme="minorEastAsia" w:hAnsiTheme="minorEastAsia" w:hint="eastAsia"/>
          <w:sz w:val="24"/>
          <w:szCs w:val="24"/>
        </w:rPr>
        <w:t>黑龙江</w:t>
      </w:r>
      <w:r>
        <w:rPr>
          <w:rFonts w:asciiTheme="minorEastAsia" w:eastAsiaTheme="minorEastAsia" w:hAnsiTheme="minorEastAsia"/>
          <w:sz w:val="24"/>
          <w:szCs w:val="24"/>
        </w:rPr>
        <w:t>·</w:t>
      </w:r>
      <w:r>
        <w:rPr>
          <w:rFonts w:asciiTheme="minorEastAsia" w:eastAsiaTheme="minorEastAsia" w:hAnsiTheme="minorEastAsia" w:hint="eastAsia"/>
          <w:sz w:val="24"/>
          <w:szCs w:val="24"/>
        </w:rPr>
        <w:t>大庆</w:t>
      </w:r>
      <w:r>
        <w:rPr>
          <w:rFonts w:asciiTheme="minorEastAsia" w:eastAsiaTheme="minorEastAsia" w:hAnsiTheme="minorEastAsia"/>
          <w:sz w:val="24"/>
          <w:szCs w:val="24"/>
        </w:rPr>
        <w:t>举办“</w:t>
      </w:r>
      <w:r>
        <w:rPr>
          <w:rFonts w:asciiTheme="minorEastAsia" w:eastAsiaTheme="minorEastAsia" w:hAnsiTheme="minorEastAsia" w:cs="方正小标宋_GBK" w:hint="eastAsia"/>
          <w:bCs/>
          <w:color w:val="000000"/>
          <w:sz w:val="24"/>
          <w:szCs w:val="24"/>
        </w:rPr>
        <w:t>2020</w:t>
      </w:r>
      <w:r w:rsidR="008847FF">
        <w:rPr>
          <w:rFonts w:asciiTheme="minorEastAsia" w:eastAsiaTheme="minorEastAsia" w:hAnsiTheme="minorEastAsia" w:cs="Arial" w:hint="eastAsia"/>
          <w:color w:val="333333"/>
          <w:sz w:val="24"/>
          <w:szCs w:val="24"/>
          <w:shd w:val="clear" w:color="auto" w:fill="FFFFFF"/>
        </w:rPr>
        <w:t>石油化工行业分析检测技术</w:t>
      </w:r>
      <w:r>
        <w:rPr>
          <w:rFonts w:asciiTheme="minorEastAsia" w:eastAsiaTheme="minorEastAsia" w:hAnsiTheme="minorEastAsia" w:cs="Arial" w:hint="eastAsia"/>
          <w:color w:val="333333"/>
          <w:sz w:val="24"/>
          <w:szCs w:val="24"/>
          <w:shd w:val="clear" w:color="auto" w:fill="FFFFFF"/>
        </w:rPr>
        <w:t>与安全仪表自动化控制系统论坛”。</w:t>
      </w:r>
      <w:r>
        <w:rPr>
          <w:rFonts w:asciiTheme="minorEastAsia" w:eastAsiaTheme="minorEastAsia" w:hAnsiTheme="minorEastAsia"/>
          <w:sz w:val="24"/>
          <w:szCs w:val="24"/>
        </w:rPr>
        <w:t>活动将围绕新时代创新发展重大战略，凸显地方特色和行业特点，为广大企</w:t>
      </w:r>
      <w:r>
        <w:rPr>
          <w:rFonts w:asciiTheme="minorEastAsia" w:eastAsiaTheme="minorEastAsia" w:hAnsiTheme="minorEastAsia" w:hint="eastAsia"/>
          <w:sz w:val="24"/>
          <w:szCs w:val="24"/>
        </w:rPr>
        <w:t>事</w:t>
      </w:r>
      <w:r>
        <w:rPr>
          <w:rFonts w:asciiTheme="minorEastAsia" w:eastAsiaTheme="minorEastAsia" w:hAnsiTheme="minorEastAsia"/>
          <w:sz w:val="24"/>
          <w:szCs w:val="24"/>
        </w:rPr>
        <w:t>业</w:t>
      </w:r>
      <w:r>
        <w:rPr>
          <w:rFonts w:asciiTheme="minorEastAsia" w:eastAsiaTheme="minorEastAsia" w:hAnsiTheme="minorEastAsia" w:hint="eastAsia"/>
          <w:sz w:val="24"/>
          <w:szCs w:val="24"/>
        </w:rPr>
        <w:t>单位</w:t>
      </w:r>
      <w:r>
        <w:rPr>
          <w:rFonts w:asciiTheme="minorEastAsia" w:eastAsiaTheme="minorEastAsia" w:hAnsiTheme="minorEastAsia"/>
          <w:sz w:val="24"/>
          <w:szCs w:val="24"/>
        </w:rPr>
        <w:t>、科研科技工作者搭建一个政府、</w:t>
      </w:r>
      <w:r>
        <w:rPr>
          <w:rFonts w:asciiTheme="minorEastAsia" w:eastAsiaTheme="minorEastAsia" w:hAnsiTheme="minorEastAsia" w:hint="eastAsia"/>
          <w:sz w:val="24"/>
          <w:szCs w:val="24"/>
        </w:rPr>
        <w:t>高校、</w:t>
      </w:r>
      <w:r>
        <w:rPr>
          <w:rFonts w:asciiTheme="minorEastAsia" w:eastAsiaTheme="minorEastAsia" w:hAnsiTheme="minorEastAsia"/>
          <w:sz w:val="24"/>
          <w:szCs w:val="24"/>
        </w:rPr>
        <w:t>学会、专家、一线技术人员、仪器仪表供应商近距离交流的平台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促</w:t>
      </w:r>
      <w:r>
        <w:rPr>
          <w:rFonts w:asciiTheme="minorEastAsia" w:eastAsiaTheme="minorEastAsia" w:hAnsiTheme="minorEastAsia" w:hint="eastAsia"/>
          <w:sz w:val="24"/>
          <w:szCs w:val="24"/>
        </w:rPr>
        <w:t>使测量控制</w:t>
      </w:r>
      <w:r>
        <w:rPr>
          <w:rFonts w:asciiTheme="minorEastAsia" w:eastAsiaTheme="minorEastAsia" w:hAnsiTheme="minorEastAsia"/>
          <w:sz w:val="24"/>
          <w:szCs w:val="24"/>
        </w:rPr>
        <w:t>与仪器</w:t>
      </w:r>
      <w:r>
        <w:rPr>
          <w:rFonts w:asciiTheme="minorEastAsia" w:eastAsiaTheme="minorEastAsia" w:hAnsiTheme="minorEastAsia" w:hint="eastAsia"/>
          <w:sz w:val="24"/>
          <w:szCs w:val="24"/>
        </w:rPr>
        <w:t>仪表</w:t>
      </w:r>
      <w:r>
        <w:rPr>
          <w:rFonts w:asciiTheme="minorEastAsia" w:eastAsiaTheme="minorEastAsia" w:hAnsiTheme="minorEastAsia"/>
          <w:sz w:val="24"/>
          <w:szCs w:val="24"/>
        </w:rPr>
        <w:t>自动化技术在“政、产、研、学、用”等各方</w:t>
      </w:r>
      <w:r>
        <w:rPr>
          <w:rFonts w:asciiTheme="minorEastAsia" w:eastAsiaTheme="minorEastAsia" w:hAnsiTheme="minorEastAsia" w:hint="eastAsia"/>
          <w:sz w:val="24"/>
          <w:szCs w:val="24"/>
        </w:rPr>
        <w:t>面的</w:t>
      </w:r>
      <w:r>
        <w:rPr>
          <w:rFonts w:asciiTheme="minorEastAsia" w:eastAsiaTheme="minorEastAsia" w:hAnsiTheme="minorEastAsia"/>
          <w:sz w:val="24"/>
          <w:szCs w:val="24"/>
        </w:rPr>
        <w:t>有效交流。</w:t>
      </w:r>
      <w:r>
        <w:rPr>
          <w:rFonts w:asciiTheme="minorEastAsia" w:eastAsiaTheme="minorEastAsia" w:hAnsiTheme="minorEastAsia" w:hint="eastAsia"/>
          <w:sz w:val="24"/>
          <w:szCs w:val="24"/>
        </w:rPr>
        <w:t>现将相关事宜通知如下：</w:t>
      </w:r>
    </w:p>
    <w:p w:rsidR="005271AF" w:rsidRDefault="0012151A">
      <w:pPr>
        <w:spacing w:line="360" w:lineRule="auto"/>
        <w:ind w:firstLine="600"/>
        <w:jc w:val="left"/>
        <w:rPr>
          <w:rFonts w:ascii="宋体" w:eastAsia="仿宋" w:hAnsi="仿宋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一、组织机构</w:t>
      </w:r>
    </w:p>
    <w:p w:rsidR="005271AF" w:rsidRDefault="0012151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主办单位：</w:t>
      </w:r>
      <w:r>
        <w:rPr>
          <w:rFonts w:hint="eastAsia"/>
          <w:sz w:val="24"/>
          <w:szCs w:val="24"/>
        </w:rPr>
        <w:t>东北石油大学</w:t>
      </w:r>
      <w:r>
        <w:rPr>
          <w:rFonts w:eastAsia="宋体" w:hint="eastAsia"/>
          <w:sz w:val="24"/>
          <w:szCs w:val="24"/>
        </w:rPr>
        <w:t>国家大学</w:t>
      </w:r>
      <w:r>
        <w:rPr>
          <w:rFonts w:hint="eastAsia"/>
          <w:sz w:val="24"/>
          <w:szCs w:val="24"/>
        </w:rPr>
        <w:t>科技园</w:t>
      </w:r>
    </w:p>
    <w:p w:rsidR="005271AF" w:rsidRDefault="0012151A" w:rsidP="00030FE8">
      <w:pPr>
        <w:spacing w:line="360" w:lineRule="auto"/>
        <w:ind w:firstLineChars="700" w:firstLine="16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中国仪器仪表学会</w:t>
      </w:r>
    </w:p>
    <w:p w:rsidR="00E549B7" w:rsidRDefault="0012151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协办单位：</w:t>
      </w:r>
      <w:r w:rsidR="00E549B7">
        <w:rPr>
          <w:rFonts w:ascii="宋体" w:eastAsia="宋体" w:hAnsi="宋体" w:hint="eastAsia"/>
          <w:sz w:val="24"/>
          <w:szCs w:val="24"/>
        </w:rPr>
        <w:t>黑龙江省仪器仪表学会</w:t>
      </w:r>
    </w:p>
    <w:p w:rsidR="005271AF" w:rsidRDefault="0012151A" w:rsidP="00E549B7">
      <w:pPr>
        <w:spacing w:line="360" w:lineRule="auto"/>
        <w:ind w:firstLineChars="700" w:firstLine="16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东北石油大学电气工程学院</w:t>
      </w:r>
    </w:p>
    <w:p w:rsidR="005271AF" w:rsidRDefault="0012151A" w:rsidP="00E549B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承办单位：北京中仪普众技术咨询有限公司</w:t>
      </w:r>
    </w:p>
    <w:p w:rsidR="005271AF" w:rsidRDefault="0012151A">
      <w:pPr>
        <w:spacing w:line="360" w:lineRule="auto"/>
        <w:ind w:firstLineChars="700" w:firstLine="16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北京中合油联石油化工科技中心</w:t>
      </w:r>
    </w:p>
    <w:p w:rsidR="005271AF" w:rsidRDefault="0012151A" w:rsidP="00030FE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支持媒体：石油石化技术准备、仪器信息网、分析测试百科网、仪表圈等</w:t>
      </w:r>
    </w:p>
    <w:p w:rsidR="005271AF" w:rsidRDefault="0012151A">
      <w:pPr>
        <w:spacing w:line="360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二、时间及地点：</w:t>
      </w:r>
    </w:p>
    <w:p w:rsidR="005271AF" w:rsidRDefault="0012151A">
      <w:pPr>
        <w:spacing w:line="360" w:lineRule="auto"/>
        <w:ind w:firstLine="482"/>
        <w:jc w:val="left"/>
        <w:rPr>
          <w:rFonts w:ascii="宋体" w:eastAsia="仿宋" w:hAnsi="仿宋"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时    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12</w:t>
      </w:r>
      <w:r>
        <w:rPr>
          <w:rFonts w:ascii="宋体" w:eastAsia="宋体" w:hAnsi="宋体"/>
          <w:sz w:val="24"/>
          <w:szCs w:val="24"/>
        </w:rPr>
        <w:t xml:space="preserve">月 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日-</w:t>
      </w: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日（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日报到布置会场）</w:t>
      </w:r>
    </w:p>
    <w:p w:rsidR="005271AF" w:rsidRDefault="0012151A">
      <w:pPr>
        <w:spacing w:line="360" w:lineRule="auto"/>
        <w:ind w:firstLine="482"/>
        <w:jc w:val="left"/>
        <w:rPr>
          <w:rFonts w:ascii="宋体" w:eastAsia="仿宋" w:hAnsi="仿宋"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地    点：</w:t>
      </w:r>
      <w:r>
        <w:rPr>
          <w:rFonts w:ascii="宋体" w:eastAsia="宋体" w:hAnsi="宋体" w:hint="eastAsia"/>
          <w:sz w:val="24"/>
          <w:szCs w:val="24"/>
        </w:rPr>
        <w:t>黑龙江</w:t>
      </w:r>
      <w:r>
        <w:rPr>
          <w:rFonts w:ascii="宋体" w:eastAsia="宋体" w:hAnsi="宋体"/>
          <w:sz w:val="24"/>
          <w:szCs w:val="24"/>
        </w:rPr>
        <w:t>·</w:t>
      </w:r>
      <w:r>
        <w:rPr>
          <w:rFonts w:ascii="宋体" w:eastAsia="宋体" w:hAnsi="宋体" w:hint="eastAsia"/>
          <w:sz w:val="24"/>
          <w:szCs w:val="24"/>
        </w:rPr>
        <w:t>大庆</w:t>
      </w:r>
      <w:r>
        <w:rPr>
          <w:rFonts w:ascii="宋体" w:eastAsia="宋体" w:hAnsi="宋体"/>
          <w:sz w:val="24"/>
          <w:szCs w:val="24"/>
        </w:rPr>
        <w:t>（具体地点另行通知）</w:t>
      </w:r>
    </w:p>
    <w:p w:rsidR="005271AF" w:rsidRDefault="0012151A">
      <w:pPr>
        <w:spacing w:line="360" w:lineRule="auto"/>
        <w:ind w:firstLine="482"/>
        <w:jc w:val="left"/>
        <w:rPr>
          <w:rFonts w:ascii="宋体" w:eastAsia="仿宋" w:hAnsi="仿宋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三、参会人员</w:t>
      </w:r>
    </w:p>
    <w:p w:rsidR="005271AF" w:rsidRDefault="0012151A">
      <w:pPr>
        <w:spacing w:line="360" w:lineRule="auto"/>
        <w:ind w:firstLine="480"/>
        <w:jc w:val="left"/>
        <w:rPr>
          <w:rFonts w:asciiTheme="minorEastAsia" w:eastAsiaTheme="minorEastAsia" w:hAnsiTheme="minorEastAsia" w:cs="仿宋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石油、化工、</w:t>
      </w:r>
      <w:r>
        <w:rPr>
          <w:rFonts w:asciiTheme="minorEastAsia" w:eastAsiaTheme="minorEastAsia" w:hAnsiTheme="minorEastAsia" w:hint="eastAsia"/>
          <w:sz w:val="24"/>
          <w:szCs w:val="24"/>
        </w:rPr>
        <w:t>煤化工、</w:t>
      </w:r>
      <w:r>
        <w:rPr>
          <w:rFonts w:asciiTheme="minorEastAsia" w:eastAsiaTheme="minorEastAsia" w:hAnsiTheme="minorEastAsia"/>
          <w:sz w:val="24"/>
          <w:szCs w:val="24"/>
        </w:rPr>
        <w:t>炼</w:t>
      </w:r>
      <w:r>
        <w:rPr>
          <w:rFonts w:asciiTheme="minorEastAsia" w:eastAsiaTheme="minorEastAsia" w:hAnsiTheme="minorEastAsia" w:hint="eastAsia"/>
          <w:sz w:val="24"/>
          <w:szCs w:val="24"/>
        </w:rPr>
        <w:t>化等</w:t>
      </w:r>
      <w:r>
        <w:rPr>
          <w:rFonts w:asciiTheme="minorEastAsia" w:eastAsiaTheme="minorEastAsia" w:hAnsiTheme="minorEastAsia"/>
          <w:sz w:val="24"/>
          <w:szCs w:val="24"/>
        </w:rPr>
        <w:t>行业生产企业、科研院所、设计单位、高校</w:t>
      </w:r>
      <w:r>
        <w:rPr>
          <w:rFonts w:asciiTheme="minorEastAsia" w:eastAsiaTheme="minorEastAsia" w:hAnsiTheme="minorEastAsia" w:hint="eastAsia"/>
          <w:sz w:val="24"/>
          <w:szCs w:val="24"/>
        </w:rPr>
        <w:t>、检测机构、监管部门、第三方平台等单位</w:t>
      </w:r>
      <w:r>
        <w:rPr>
          <w:rFonts w:asciiTheme="minorEastAsia" w:eastAsiaTheme="minorEastAsia" w:hAnsiTheme="minorEastAsia" w:cs="仿宋"/>
          <w:color w:val="000000"/>
          <w:sz w:val="24"/>
          <w:szCs w:val="24"/>
        </w:rPr>
        <w:t>物资采购、自控室、</w:t>
      </w:r>
      <w:r>
        <w:rPr>
          <w:rFonts w:asciiTheme="minorEastAsia" w:eastAsiaTheme="minorEastAsia" w:hAnsiTheme="minorEastAsia" w:cs="仿宋" w:hint="eastAsia"/>
          <w:color w:val="000000"/>
          <w:sz w:val="24"/>
          <w:szCs w:val="24"/>
        </w:rPr>
        <w:t>电控室、信息化部、安全管理部、仪电工</w:t>
      </w:r>
      <w:r>
        <w:rPr>
          <w:rFonts w:asciiTheme="minorEastAsia" w:eastAsiaTheme="minorEastAsia" w:hAnsiTheme="minorEastAsia" w:cs="仿宋" w:hint="eastAsia"/>
          <w:color w:val="000000"/>
          <w:sz w:val="24"/>
          <w:szCs w:val="24"/>
        </w:rPr>
        <w:lastRenderedPageBreak/>
        <w:t>程部、维修部、</w:t>
      </w:r>
      <w:bookmarkStart w:id="0" w:name="_GoBack"/>
      <w:bookmarkEnd w:id="0"/>
      <w:r>
        <w:rPr>
          <w:rFonts w:asciiTheme="minorEastAsia" w:eastAsiaTheme="minorEastAsia" w:hAnsiTheme="minorEastAsia" w:cs="仿宋"/>
          <w:color w:val="000000"/>
          <w:sz w:val="24"/>
          <w:szCs w:val="24"/>
        </w:rPr>
        <w:t>科技</w:t>
      </w:r>
      <w:r>
        <w:rPr>
          <w:rFonts w:asciiTheme="minorEastAsia" w:eastAsiaTheme="minorEastAsia" w:hAnsiTheme="minorEastAsia" w:cs="仿宋" w:hint="eastAsia"/>
          <w:color w:val="000000"/>
          <w:sz w:val="24"/>
          <w:szCs w:val="24"/>
        </w:rPr>
        <w:t>处室</w:t>
      </w:r>
      <w:r>
        <w:rPr>
          <w:rFonts w:asciiTheme="minorEastAsia" w:eastAsiaTheme="minorEastAsia" w:hAnsiTheme="minorEastAsia" w:cs="仿宋"/>
          <w:color w:val="000000"/>
          <w:sz w:val="24"/>
          <w:szCs w:val="24"/>
        </w:rPr>
        <w:t>、实验室、</w:t>
      </w:r>
      <w:r>
        <w:rPr>
          <w:rFonts w:asciiTheme="minorEastAsia" w:eastAsiaTheme="minorEastAsia" w:hAnsiTheme="minorEastAsia" w:cs="仿宋" w:hint="eastAsia"/>
          <w:color w:val="000000"/>
          <w:sz w:val="24"/>
          <w:szCs w:val="24"/>
        </w:rPr>
        <w:t>化验室、分析室、质检部、质量部、</w:t>
      </w:r>
      <w:r>
        <w:rPr>
          <w:rFonts w:asciiTheme="minorEastAsia" w:eastAsiaTheme="minorEastAsia" w:hAnsiTheme="minorEastAsia" w:cs="仿宋"/>
          <w:color w:val="000000"/>
          <w:sz w:val="24"/>
          <w:szCs w:val="24"/>
        </w:rPr>
        <w:t>设备管理</w:t>
      </w:r>
      <w:r>
        <w:rPr>
          <w:rFonts w:asciiTheme="minorEastAsia" w:eastAsiaTheme="minorEastAsia" w:hAnsiTheme="minorEastAsia" w:cs="仿宋" w:hint="eastAsia"/>
          <w:color w:val="000000"/>
          <w:sz w:val="24"/>
          <w:szCs w:val="24"/>
        </w:rPr>
        <w:t>等技术人员及管理人员。</w:t>
      </w:r>
    </w:p>
    <w:p w:rsidR="005271AF" w:rsidRDefault="0012151A">
      <w:pPr>
        <w:spacing w:line="360" w:lineRule="auto"/>
        <w:ind w:firstLine="482"/>
        <w:jc w:val="left"/>
        <w:rPr>
          <w:rFonts w:ascii="宋体" w:eastAsia="仿宋" w:hAnsi="仿宋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四、拟主要内容</w:t>
      </w:r>
    </w:p>
    <w:p w:rsidR="005271AF" w:rsidRDefault="0012151A">
      <w:pPr>
        <w:spacing w:line="360" w:lineRule="auto"/>
        <w:ind w:firstLine="480"/>
        <w:jc w:val="left"/>
        <w:rPr>
          <w:rFonts w:ascii="宋体" w:eastAsia="仿宋" w:hAnsi="仿宋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本次技术交流会分两个单元交流：</w:t>
      </w:r>
    </w:p>
    <w:p w:rsidR="005271AF" w:rsidRDefault="0012151A">
      <w:pPr>
        <w:spacing w:line="360" w:lineRule="auto"/>
        <w:ind w:firstLine="480"/>
        <w:jc w:val="left"/>
        <w:rPr>
          <w:rFonts w:ascii="宋体" w:eastAsia="仿宋" w:hAnsi="仿宋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第一单元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分析检测技术与仪器在石油</w:t>
      </w:r>
      <w:r>
        <w:rPr>
          <w:rFonts w:ascii="宋体" w:eastAsia="宋体" w:hAnsi="宋体" w:hint="eastAsia"/>
          <w:sz w:val="24"/>
          <w:szCs w:val="24"/>
        </w:rPr>
        <w:t>和</w:t>
      </w:r>
      <w:r>
        <w:rPr>
          <w:rFonts w:ascii="宋体" w:eastAsia="宋体" w:hAnsi="宋体"/>
          <w:sz w:val="24"/>
          <w:szCs w:val="24"/>
        </w:rPr>
        <w:t>化工行业中的应用。</w:t>
      </w:r>
    </w:p>
    <w:p w:rsidR="005271AF" w:rsidRDefault="0012151A">
      <w:pPr>
        <w:spacing w:line="360" w:lineRule="auto"/>
        <w:ind w:firstLine="480"/>
        <w:jc w:val="left"/>
        <w:rPr>
          <w:rFonts w:ascii="宋体" w:eastAsia="仿宋" w:hAnsi="仿宋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第二单元</w:t>
      </w:r>
      <w:r>
        <w:rPr>
          <w:rFonts w:ascii="宋体" w:eastAsia="宋体" w:hAnsi="宋体" w:hint="eastAsia"/>
          <w:sz w:val="24"/>
          <w:szCs w:val="24"/>
        </w:rPr>
        <w:t>：安全仪表及自动控制系统</w:t>
      </w:r>
      <w:r>
        <w:rPr>
          <w:rFonts w:ascii="宋体" w:eastAsia="宋体" w:hAnsi="宋体"/>
          <w:sz w:val="24"/>
          <w:szCs w:val="24"/>
        </w:rPr>
        <w:t>在石油</w:t>
      </w:r>
      <w:r>
        <w:rPr>
          <w:rFonts w:ascii="宋体" w:eastAsia="宋体" w:hAnsi="宋体" w:hint="eastAsia"/>
          <w:sz w:val="24"/>
          <w:szCs w:val="24"/>
        </w:rPr>
        <w:t>和</w:t>
      </w:r>
      <w:r>
        <w:rPr>
          <w:rFonts w:ascii="宋体" w:eastAsia="宋体" w:hAnsi="宋体"/>
          <w:sz w:val="24"/>
          <w:szCs w:val="24"/>
        </w:rPr>
        <w:t>化工行业中的应用。</w:t>
      </w:r>
    </w:p>
    <w:p w:rsidR="005271AF" w:rsidRDefault="0012151A">
      <w:pPr>
        <w:spacing w:line="360" w:lineRule="auto"/>
        <w:ind w:left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第一单元</w:t>
      </w:r>
      <w:r>
        <w:rPr>
          <w:rFonts w:ascii="宋体" w:eastAsia="宋体" w:hAnsi="宋体" w:hint="eastAsia"/>
          <w:b/>
          <w:sz w:val="24"/>
          <w:szCs w:val="24"/>
        </w:rPr>
        <w:t>：</w:t>
      </w:r>
      <w:r>
        <w:rPr>
          <w:rFonts w:ascii="宋体" w:eastAsia="宋体" w:hAnsi="宋体"/>
          <w:b/>
          <w:sz w:val="24"/>
          <w:szCs w:val="24"/>
        </w:rPr>
        <w:t>分析检测技术与仪器在</w:t>
      </w:r>
      <w:r>
        <w:rPr>
          <w:rFonts w:ascii="宋体" w:eastAsia="宋体" w:hAnsi="宋体" w:hint="eastAsia"/>
          <w:b/>
          <w:sz w:val="24"/>
          <w:szCs w:val="24"/>
        </w:rPr>
        <w:t>石油</w:t>
      </w:r>
      <w:r>
        <w:rPr>
          <w:rFonts w:ascii="宋体" w:eastAsia="宋体" w:hAnsi="宋体"/>
          <w:b/>
          <w:sz w:val="24"/>
          <w:szCs w:val="24"/>
        </w:rPr>
        <w:t>工行业中的应用</w:t>
      </w:r>
    </w:p>
    <w:p w:rsidR="005271AF" w:rsidRDefault="0012151A">
      <w:pPr>
        <w:wordWrap w:val="0"/>
        <w:spacing w:line="360" w:lineRule="auto"/>
        <w:ind w:left="56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1.20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石油、化工</w:t>
      </w:r>
      <w:r>
        <w:rPr>
          <w:rFonts w:ascii="宋体" w:eastAsia="宋体" w:hAnsi="宋体"/>
          <w:sz w:val="24"/>
          <w:szCs w:val="24"/>
        </w:rPr>
        <w:t>市场分析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“十</w:t>
      </w:r>
      <w:r>
        <w:rPr>
          <w:rFonts w:ascii="宋体" w:eastAsia="宋体" w:hAnsi="宋体" w:hint="eastAsia"/>
          <w:sz w:val="24"/>
          <w:szCs w:val="24"/>
        </w:rPr>
        <w:t>四</w:t>
      </w:r>
      <w:r>
        <w:rPr>
          <w:rFonts w:ascii="宋体" w:eastAsia="宋体" w:hAnsi="宋体"/>
          <w:sz w:val="24"/>
          <w:szCs w:val="24"/>
        </w:rPr>
        <w:t>五”发展重点及未来方向分析；</w:t>
      </w:r>
    </w:p>
    <w:p w:rsidR="005271AF" w:rsidRDefault="0012151A">
      <w:pPr>
        <w:wordWrap w:val="0"/>
        <w:spacing w:line="360" w:lineRule="auto"/>
        <w:ind w:left="56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2.智能制造环境下石油化工企业安全生产、实验室管理及标准化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5271AF" w:rsidRDefault="0012151A">
      <w:pPr>
        <w:wordWrap w:val="0"/>
        <w:spacing w:line="360" w:lineRule="auto"/>
        <w:ind w:left="56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石油、化工产品</w:t>
      </w:r>
      <w:r>
        <w:rPr>
          <w:rFonts w:ascii="宋体" w:eastAsia="宋体" w:hAnsi="宋体"/>
          <w:sz w:val="24"/>
          <w:szCs w:val="24"/>
        </w:rPr>
        <w:t>分析检测</w:t>
      </w:r>
      <w:r>
        <w:rPr>
          <w:rFonts w:ascii="宋体" w:eastAsia="宋体" w:hAnsi="宋体" w:hint="eastAsia"/>
          <w:sz w:val="24"/>
          <w:szCs w:val="24"/>
        </w:rPr>
        <w:t>技术</w:t>
      </w:r>
      <w:r>
        <w:rPr>
          <w:rFonts w:ascii="宋体" w:eastAsia="宋体" w:hAnsi="宋体"/>
          <w:sz w:val="24"/>
          <w:szCs w:val="24"/>
        </w:rPr>
        <w:t>标准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5271AF" w:rsidRDefault="0012151A">
      <w:pPr>
        <w:wordWrap w:val="0"/>
        <w:spacing w:line="360" w:lineRule="auto"/>
        <w:ind w:firstLine="56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</w:t>
      </w:r>
      <w:r>
        <w:rPr>
          <w:rFonts w:ascii="宋体" w:eastAsia="宋体" w:hAnsi="宋体" w:hint="eastAsia"/>
          <w:sz w:val="24"/>
          <w:szCs w:val="24"/>
        </w:rPr>
        <w:t>石油</w:t>
      </w:r>
      <w:r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化工产品分析检</w:t>
      </w:r>
      <w:r>
        <w:rPr>
          <w:rFonts w:ascii="宋体" w:eastAsia="宋体" w:hAnsi="宋体"/>
          <w:sz w:val="24"/>
          <w:szCs w:val="24"/>
        </w:rPr>
        <w:t>测前沿技术及其进展</w:t>
      </w:r>
      <w:r>
        <w:rPr>
          <w:rFonts w:ascii="宋体" w:eastAsia="宋体" w:hAnsi="宋体"/>
          <w:color w:val="000000"/>
          <w:sz w:val="24"/>
          <w:szCs w:val="24"/>
        </w:rPr>
        <w:t>，包括色谱</w:t>
      </w:r>
      <w:r>
        <w:rPr>
          <w:rFonts w:ascii="宋体" w:eastAsia="宋体" w:hAnsi="宋体" w:hint="eastAsia"/>
          <w:color w:val="000000"/>
          <w:sz w:val="24"/>
          <w:szCs w:val="24"/>
        </w:rPr>
        <w:t>、质谱</w:t>
      </w:r>
      <w:r>
        <w:rPr>
          <w:rFonts w:ascii="宋体" w:eastAsia="宋体" w:hAnsi="宋体"/>
          <w:color w:val="000000"/>
          <w:sz w:val="24"/>
          <w:szCs w:val="24"/>
        </w:rPr>
        <w:t>、光谱、</w:t>
      </w:r>
      <w:r>
        <w:rPr>
          <w:rFonts w:ascii="宋体" w:eastAsia="宋体" w:hAnsi="宋体" w:hint="eastAsia"/>
          <w:color w:val="000000"/>
          <w:sz w:val="24"/>
          <w:szCs w:val="24"/>
        </w:rPr>
        <w:t>环保检测、</w:t>
      </w:r>
      <w:r>
        <w:rPr>
          <w:rFonts w:ascii="宋体" w:eastAsia="宋体" w:hAnsi="宋体"/>
          <w:color w:val="000000"/>
          <w:sz w:val="24"/>
          <w:szCs w:val="24"/>
        </w:rPr>
        <w:t>电化学、油品常规分析检测等；</w:t>
      </w:r>
    </w:p>
    <w:p w:rsidR="005271AF" w:rsidRDefault="0012151A">
      <w:pPr>
        <w:wordWrap w:val="0"/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.石油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化工行业分析检测技术专题培训：</w:t>
      </w:r>
    </w:p>
    <w:p w:rsidR="005271AF" w:rsidRDefault="0012151A">
      <w:pPr>
        <w:wordWrap w:val="0"/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（1）</w:t>
      </w:r>
      <w:r>
        <w:rPr>
          <w:rFonts w:ascii="宋体" w:eastAsia="宋体" w:hAnsi="宋体" w:hint="eastAsia"/>
          <w:sz w:val="24"/>
          <w:szCs w:val="24"/>
        </w:rPr>
        <w:t>色谱及色质联用</w:t>
      </w:r>
      <w:r w:rsidR="00E64C12">
        <w:rPr>
          <w:rFonts w:ascii="宋体" w:eastAsia="宋体" w:hAnsi="宋体"/>
          <w:sz w:val="24"/>
          <w:szCs w:val="24"/>
        </w:rPr>
        <w:t>分析检测</w:t>
      </w:r>
      <w:r>
        <w:rPr>
          <w:rFonts w:ascii="宋体" w:eastAsia="宋体" w:hAnsi="宋体"/>
          <w:sz w:val="24"/>
          <w:szCs w:val="24"/>
        </w:rPr>
        <w:t>及仪器的维护、维修及保养技术；</w:t>
      </w:r>
    </w:p>
    <w:p w:rsidR="005271AF" w:rsidRDefault="0012151A">
      <w:pPr>
        <w:wordWrap w:val="0"/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（2）</w:t>
      </w:r>
      <w:r>
        <w:rPr>
          <w:rFonts w:ascii="宋体" w:eastAsia="宋体" w:hAnsi="宋体" w:hint="eastAsia"/>
          <w:sz w:val="24"/>
          <w:szCs w:val="24"/>
        </w:rPr>
        <w:t>光谱</w:t>
      </w:r>
      <w:r w:rsidR="00E64C12">
        <w:rPr>
          <w:rFonts w:ascii="宋体" w:eastAsia="宋体" w:hAnsi="宋体"/>
          <w:sz w:val="24"/>
          <w:szCs w:val="24"/>
        </w:rPr>
        <w:t>分析检测</w:t>
      </w:r>
      <w:r>
        <w:rPr>
          <w:rFonts w:ascii="宋体" w:eastAsia="宋体" w:hAnsi="宋体"/>
          <w:sz w:val="24"/>
          <w:szCs w:val="24"/>
        </w:rPr>
        <w:t>及仪器维护、维修及保养技术；</w:t>
      </w:r>
    </w:p>
    <w:p w:rsidR="005271AF" w:rsidRDefault="0012151A">
      <w:pPr>
        <w:wordWrap w:val="0"/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（3</w:t>
      </w:r>
      <w:r w:rsidR="00E64C12">
        <w:rPr>
          <w:rFonts w:ascii="宋体" w:eastAsia="宋体" w:hAnsi="宋体"/>
          <w:sz w:val="24"/>
          <w:szCs w:val="24"/>
        </w:rPr>
        <w:t>）电化学分析检测</w:t>
      </w:r>
      <w:r>
        <w:rPr>
          <w:rFonts w:ascii="宋体" w:eastAsia="宋体" w:hAnsi="宋体"/>
          <w:sz w:val="24"/>
          <w:szCs w:val="24"/>
        </w:rPr>
        <w:t>及仪器的维护、维修及保养技术；</w:t>
      </w:r>
    </w:p>
    <w:p w:rsidR="005271AF" w:rsidRDefault="0012151A">
      <w:pPr>
        <w:wordWrap w:val="0"/>
        <w:spacing w:line="360" w:lineRule="auto"/>
        <w:ind w:firstLine="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（4</w:t>
      </w:r>
      <w:r w:rsidR="00E64C12">
        <w:rPr>
          <w:rFonts w:ascii="宋体" w:eastAsia="宋体" w:hAnsi="宋体"/>
          <w:sz w:val="24"/>
          <w:szCs w:val="24"/>
        </w:rPr>
        <w:t>）油品常规分析检测</w:t>
      </w:r>
      <w:r>
        <w:rPr>
          <w:rFonts w:ascii="宋体" w:eastAsia="宋体" w:hAnsi="宋体"/>
          <w:sz w:val="24"/>
          <w:szCs w:val="24"/>
        </w:rPr>
        <w:t>及相关仪器的维护、维修及保养技术；</w:t>
      </w:r>
    </w:p>
    <w:p w:rsidR="005271AF" w:rsidRDefault="0012151A">
      <w:pPr>
        <w:wordWrap w:val="0"/>
        <w:spacing w:line="360" w:lineRule="auto"/>
        <w:ind w:left="56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.石油化工行业中疑难检测问题解决方案；</w:t>
      </w:r>
    </w:p>
    <w:p w:rsidR="005271AF" w:rsidRDefault="0012151A">
      <w:pPr>
        <w:wordWrap w:val="0"/>
        <w:spacing w:line="360" w:lineRule="auto"/>
        <w:ind w:firstLineChars="25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7.其他相关技术交流。</w:t>
      </w:r>
    </w:p>
    <w:p w:rsidR="005271AF" w:rsidRDefault="0012151A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第二单元</w:t>
      </w:r>
      <w:r>
        <w:rPr>
          <w:rFonts w:ascii="宋体" w:eastAsia="宋体" w:hAnsi="宋体" w:hint="eastAsia"/>
          <w:b/>
          <w:sz w:val="24"/>
          <w:szCs w:val="24"/>
        </w:rPr>
        <w:t>：</w:t>
      </w:r>
      <w:r>
        <w:rPr>
          <w:rFonts w:ascii="宋体" w:eastAsia="宋体" w:hAnsi="宋体" w:hint="eastAsia"/>
          <w:b/>
          <w:bCs/>
          <w:sz w:val="24"/>
          <w:szCs w:val="24"/>
        </w:rPr>
        <w:t>安全仪表及自动控制系统</w:t>
      </w:r>
      <w:r>
        <w:rPr>
          <w:rFonts w:ascii="宋体" w:eastAsia="宋体" w:hAnsi="宋体"/>
          <w:b/>
          <w:bCs/>
          <w:sz w:val="24"/>
          <w:szCs w:val="24"/>
        </w:rPr>
        <w:t>在石油</w:t>
      </w:r>
      <w:r>
        <w:rPr>
          <w:rFonts w:ascii="宋体" w:eastAsia="宋体" w:hAnsi="宋体" w:hint="eastAsia"/>
          <w:b/>
          <w:bCs/>
          <w:sz w:val="24"/>
          <w:szCs w:val="24"/>
        </w:rPr>
        <w:t>和</w:t>
      </w:r>
      <w:r>
        <w:rPr>
          <w:rFonts w:ascii="宋体" w:eastAsia="宋体" w:hAnsi="宋体"/>
          <w:b/>
          <w:bCs/>
          <w:sz w:val="24"/>
          <w:szCs w:val="24"/>
        </w:rPr>
        <w:t>化工行业中的应用</w:t>
      </w:r>
    </w:p>
    <w:p w:rsidR="005271AF" w:rsidRDefault="0012151A">
      <w:pPr>
        <w:wordWrap w:val="0"/>
        <w:spacing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1.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创新技术促新旧动能转换成果技术，</w:t>
      </w:r>
      <w:r>
        <w:rPr>
          <w:rFonts w:asciiTheme="minorEastAsia" w:eastAsiaTheme="minorEastAsia" w:hAnsiTheme="minorEastAsia"/>
          <w:sz w:val="24"/>
          <w:szCs w:val="24"/>
        </w:rPr>
        <w:t>石油化工行业过程控制技术、数字车间、智能炼厂的研究与探讨；</w:t>
      </w:r>
    </w:p>
    <w:p w:rsidR="005271AF" w:rsidRDefault="0012151A">
      <w:pPr>
        <w:wordWrap w:val="0"/>
        <w:spacing w:line="360" w:lineRule="auto"/>
        <w:ind w:left="6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2.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仪表自动化创新技术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应用</w:t>
      </w:r>
    </w:p>
    <w:p w:rsidR="005271AF" w:rsidRDefault="0012151A">
      <w:pPr>
        <w:wordWrap w:val="0"/>
        <w:spacing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石油和化工生产过程中的各种变量(温度、压力、液位、流量、流速、密度、粘度、浓</w:t>
      </w:r>
    </w:p>
    <w:p w:rsidR="005271AF" w:rsidRDefault="0012151A" w:rsidP="00601B11">
      <w:pPr>
        <w:wordWrap w:val="0"/>
        <w:spacing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度、质量、转速、扭矩、深度、频率、方位、位移、形变、电流、电压、功率、声音、图像等)进行自动检测、显示、存储、控制、分析及数据发送、接收的仪器，包括有温度表、压力表、液位计、流量计、数显仪等，自动控制、报警、信号传递和数据处理等功能的仪器、装置，调节阀、压力开关、变送器、数据处理模块以及工序流程控制、自动安全装置、节能环保装置、自动（半自动）操作系统、大数据采集分析系统等。</w:t>
      </w:r>
    </w:p>
    <w:p w:rsidR="005271AF" w:rsidRDefault="0012151A">
      <w:pPr>
        <w:wordWrap w:val="0"/>
        <w:spacing w:line="360" w:lineRule="auto"/>
        <w:ind w:firstLine="600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lastRenderedPageBreak/>
        <w:t>3.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包括石油化工行业仪表自动化前沿技术及其进展，相关设计标准、技术标准、关注热点、</w:t>
      </w:r>
      <w:r>
        <w:rPr>
          <w:rFonts w:asciiTheme="minorEastAsia" w:eastAsiaTheme="minorEastAsia" w:hAnsiTheme="minorEastAsia"/>
          <w:sz w:val="24"/>
          <w:szCs w:val="24"/>
        </w:rPr>
        <w:t>两化融合与项目集成、特种工况下的阀门设计与维护、安全仪表系统(SIS)、大型石油化工企业自动控制系统、DCS控制系统在大型煤化工装置上的应用及国产化介绍。</w:t>
      </w:r>
    </w:p>
    <w:p w:rsidR="005271AF" w:rsidRDefault="0012151A">
      <w:pPr>
        <w:wordWrap w:val="0"/>
        <w:spacing w:line="360" w:lineRule="auto"/>
        <w:ind w:left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4.石油、</w:t>
      </w:r>
      <w:r>
        <w:rPr>
          <w:rFonts w:asciiTheme="minorEastAsia" w:eastAsiaTheme="minorEastAsia" w:hAnsiTheme="minorEastAsia"/>
          <w:sz w:val="24"/>
          <w:szCs w:val="24"/>
        </w:rPr>
        <w:t>化工</w:t>
      </w:r>
      <w:r>
        <w:rPr>
          <w:rFonts w:asciiTheme="minorEastAsia" w:eastAsiaTheme="minorEastAsia" w:hAnsiTheme="minorEastAsia" w:hint="eastAsia"/>
          <w:sz w:val="24"/>
          <w:szCs w:val="24"/>
        </w:rPr>
        <w:t>行业中</w:t>
      </w:r>
      <w:r>
        <w:rPr>
          <w:rFonts w:asciiTheme="minorEastAsia" w:eastAsiaTheme="minorEastAsia" w:hAnsiTheme="minorEastAsia"/>
          <w:sz w:val="24"/>
          <w:szCs w:val="24"/>
        </w:rPr>
        <w:t>仪表自动化设备维护</w:t>
      </w:r>
      <w:r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5271AF" w:rsidRDefault="0012151A">
      <w:pPr>
        <w:wordWrap w:val="0"/>
        <w:spacing w:line="360" w:lineRule="auto"/>
        <w:ind w:left="56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.石油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化工行业中</w:t>
      </w:r>
      <w:r>
        <w:rPr>
          <w:rFonts w:ascii="宋体" w:eastAsia="宋体" w:hAnsi="宋体" w:hint="eastAsia"/>
          <w:sz w:val="24"/>
          <w:szCs w:val="24"/>
        </w:rPr>
        <w:t>仪表自动化</w:t>
      </w:r>
      <w:r>
        <w:rPr>
          <w:rFonts w:ascii="宋体" w:eastAsia="宋体" w:hAnsi="宋体"/>
          <w:sz w:val="24"/>
          <w:szCs w:val="24"/>
        </w:rPr>
        <w:t>疑难检测问题</w:t>
      </w:r>
      <w:r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解决方案；</w:t>
      </w:r>
    </w:p>
    <w:p w:rsidR="005271AF" w:rsidRDefault="0012151A">
      <w:pPr>
        <w:wordWrap w:val="0"/>
        <w:spacing w:line="360" w:lineRule="auto"/>
        <w:ind w:left="56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6．安全仪表系统在石油炼化系统中的应用</w:t>
      </w:r>
    </w:p>
    <w:p w:rsidR="005271AF" w:rsidRDefault="0012151A" w:rsidP="00601B11">
      <w:pPr>
        <w:autoSpaceDE w:val="0"/>
        <w:autoSpaceDN w:val="0"/>
        <w:spacing w:line="440" w:lineRule="exact"/>
        <w:ind w:firstLineChars="196" w:firstLine="472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</w:t>
      </w:r>
      <w:r>
        <w:rPr>
          <w:rFonts w:ascii="宋体" w:hAnsi="宋体"/>
          <w:b/>
          <w:sz w:val="24"/>
          <w:szCs w:val="24"/>
        </w:rPr>
        <w:t>、会议征文</w:t>
      </w:r>
    </w:p>
    <w:p w:rsidR="005271AF" w:rsidRDefault="0012151A">
      <w:pPr>
        <w:autoSpaceDE w:val="0"/>
        <w:autoSpaceDN w:val="0"/>
        <w:spacing w:line="44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7A01BD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eastAsiaTheme="minorEastAsia" w:hAnsiTheme="minorEastAsia"/>
          <w:sz w:val="24"/>
          <w:szCs w:val="24"/>
        </w:rPr>
        <w:t>与</w:t>
      </w:r>
      <w:r>
        <w:rPr>
          <w:rFonts w:asciiTheme="minorEastAsia" w:eastAsiaTheme="minorEastAsia" w:hAnsiTheme="minorEastAsia" w:hint="eastAsia"/>
          <w:sz w:val="24"/>
          <w:szCs w:val="24"/>
        </w:rPr>
        <w:t>会议</w:t>
      </w:r>
      <w:r>
        <w:rPr>
          <w:rFonts w:asciiTheme="minorEastAsia" w:eastAsiaTheme="minorEastAsia" w:hAnsiTheme="minorEastAsia"/>
          <w:sz w:val="24"/>
          <w:szCs w:val="24"/>
        </w:rPr>
        <w:t>议题相关的综合检测技术、</w:t>
      </w:r>
      <w:r>
        <w:rPr>
          <w:rFonts w:asciiTheme="minorEastAsia" w:eastAsiaTheme="minorEastAsia" w:hAnsiTheme="minorEastAsia" w:hint="eastAsia"/>
          <w:sz w:val="24"/>
          <w:szCs w:val="24"/>
        </w:rPr>
        <w:t>仪器仪表测量控制技术、</w:t>
      </w:r>
      <w:r>
        <w:rPr>
          <w:rFonts w:asciiTheme="minorEastAsia" w:eastAsiaTheme="minorEastAsia" w:hAnsiTheme="minorEastAsia"/>
          <w:sz w:val="24"/>
          <w:szCs w:val="24"/>
        </w:rPr>
        <w:t>创新</w:t>
      </w:r>
      <w:r>
        <w:rPr>
          <w:rFonts w:asciiTheme="minorEastAsia" w:eastAsiaTheme="minorEastAsia" w:hAnsiTheme="minorEastAsia" w:hint="eastAsia"/>
          <w:sz w:val="24"/>
          <w:szCs w:val="24"/>
        </w:rPr>
        <w:t>测量控制</w:t>
      </w:r>
      <w:r>
        <w:rPr>
          <w:rFonts w:asciiTheme="minorEastAsia" w:eastAsiaTheme="minorEastAsia" w:hAnsiTheme="minorEastAsia"/>
          <w:sz w:val="24"/>
          <w:szCs w:val="24"/>
        </w:rPr>
        <w:t>技术、</w:t>
      </w:r>
      <w:r>
        <w:rPr>
          <w:rFonts w:asciiTheme="minorEastAsia" w:eastAsiaTheme="minorEastAsia" w:hAnsiTheme="minorEastAsia" w:hint="eastAsia"/>
          <w:sz w:val="24"/>
          <w:szCs w:val="24"/>
        </w:rPr>
        <w:t>仪器仪表</w:t>
      </w:r>
      <w:r>
        <w:rPr>
          <w:rFonts w:asciiTheme="minorEastAsia" w:eastAsiaTheme="minorEastAsia" w:hAnsiTheme="minorEastAsia"/>
          <w:sz w:val="24"/>
          <w:szCs w:val="24"/>
        </w:rPr>
        <w:t>维护保养技术、</w:t>
      </w:r>
      <w:r>
        <w:rPr>
          <w:rFonts w:asciiTheme="minorEastAsia" w:eastAsiaTheme="minorEastAsia" w:hAnsiTheme="minorEastAsia" w:hint="eastAsia"/>
          <w:sz w:val="24"/>
          <w:szCs w:val="24"/>
        </w:rPr>
        <w:t>仪器仪表</w:t>
      </w:r>
      <w:r>
        <w:rPr>
          <w:rFonts w:asciiTheme="minorEastAsia" w:eastAsiaTheme="minorEastAsia" w:hAnsiTheme="minorEastAsia"/>
          <w:sz w:val="24"/>
          <w:szCs w:val="24"/>
        </w:rPr>
        <w:t>综合研发、实验室管理、QC成果等技术性文章均在征文范围。</w:t>
      </w:r>
      <w:r>
        <w:rPr>
          <w:rFonts w:asciiTheme="minorEastAsia" w:eastAsiaTheme="minorEastAsia" w:hAnsiTheme="minorEastAsia" w:hint="eastAsia"/>
          <w:sz w:val="24"/>
          <w:szCs w:val="24"/>
        </w:rPr>
        <w:t>质量比较好的论文</w:t>
      </w:r>
      <w:r>
        <w:rPr>
          <w:rFonts w:asciiTheme="minorEastAsia" w:eastAsiaTheme="minorEastAsia" w:hAnsiTheme="minorEastAsia"/>
          <w:sz w:val="24"/>
          <w:szCs w:val="24"/>
        </w:rPr>
        <w:t>会议安排</w:t>
      </w:r>
      <w:r>
        <w:rPr>
          <w:rFonts w:asciiTheme="minorEastAsia" w:eastAsiaTheme="minorEastAsia" w:hAnsiTheme="minorEastAsia" w:hint="eastAsia"/>
          <w:sz w:val="24"/>
          <w:szCs w:val="24"/>
        </w:rPr>
        <w:t>时间段进行</w:t>
      </w:r>
      <w:r>
        <w:rPr>
          <w:rFonts w:asciiTheme="minorEastAsia" w:eastAsiaTheme="minorEastAsia" w:hAnsiTheme="minorEastAsia"/>
          <w:sz w:val="24"/>
          <w:szCs w:val="24"/>
        </w:rPr>
        <w:t>交流</w:t>
      </w:r>
      <w:r>
        <w:rPr>
          <w:rFonts w:asciiTheme="minorEastAsia" w:eastAsiaTheme="minorEastAsia" w:hAnsiTheme="minorEastAsia" w:hint="eastAsia"/>
          <w:sz w:val="24"/>
          <w:szCs w:val="24"/>
        </w:rPr>
        <w:t>，并推荐核心期刊正式发表或正式出版期刊增刊。</w:t>
      </w:r>
    </w:p>
    <w:p w:rsidR="005271AF" w:rsidRDefault="0012151A">
      <w:pPr>
        <w:autoSpaceDE w:val="0"/>
        <w:autoSpaceDN w:val="0"/>
        <w:spacing w:line="440" w:lineRule="exact"/>
        <w:ind w:firstLine="562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论文要求：</w:t>
      </w:r>
    </w:p>
    <w:p w:rsidR="005271AF" w:rsidRDefault="0012151A">
      <w:pPr>
        <w:pStyle w:val="af0"/>
        <w:autoSpaceDE w:val="0"/>
        <w:autoSpaceDN w:val="0"/>
        <w:spacing w:line="440" w:lineRule="exact"/>
        <w:ind w:left="585" w:firstLine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1.论文为没有公开发表过的文章。</w:t>
      </w:r>
    </w:p>
    <w:p w:rsidR="005271AF" w:rsidRDefault="0012151A">
      <w:pPr>
        <w:pStyle w:val="af0"/>
        <w:autoSpaceDE w:val="0"/>
        <w:autoSpaceDN w:val="0"/>
        <w:spacing w:line="440" w:lineRule="exact"/>
        <w:ind w:left="585" w:firstLine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2.摘要不超过500字，全文不超过5000字。</w:t>
      </w:r>
    </w:p>
    <w:p w:rsidR="005271AF" w:rsidRDefault="0012151A">
      <w:pPr>
        <w:autoSpaceDE w:val="0"/>
        <w:autoSpaceDN w:val="0"/>
        <w:spacing w:line="440" w:lineRule="exact"/>
        <w:ind w:left="567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3.提交论文邮箱：</w:t>
      </w:r>
      <w:hyperlink r:id="rId8" w:history="1">
        <w:r>
          <w:rPr>
            <w:rStyle w:val="ac"/>
            <w:rFonts w:asciiTheme="minorEastAsia" w:eastAsiaTheme="minorEastAsia" w:hAnsiTheme="minorEastAsia" w:hint="eastAsia"/>
            <w:color w:val="auto"/>
            <w:sz w:val="24"/>
            <w:szCs w:val="24"/>
            <w:u w:val="none"/>
          </w:rPr>
          <w:t>r-well@163.com</w:t>
        </w:r>
      </w:hyperlink>
      <w:r>
        <w:rPr>
          <w:rFonts w:asciiTheme="minorEastAsia" w:eastAsiaTheme="minorEastAsia" w:hAnsiTheme="minorEastAsia" w:hint="eastAsia"/>
          <w:sz w:val="24"/>
          <w:szCs w:val="24"/>
        </w:rPr>
        <w:t xml:space="preserve"> 。</w:t>
      </w:r>
    </w:p>
    <w:p w:rsidR="005271AF" w:rsidRDefault="00647F11">
      <w:pPr>
        <w:autoSpaceDE w:val="0"/>
        <w:autoSpaceDN w:val="0"/>
        <w:spacing w:line="440" w:lineRule="exact"/>
        <w:ind w:left="567"/>
        <w:jc w:val="left"/>
        <w:rPr>
          <w:rFonts w:ascii="宋体" w:eastAsia="宋体" w:hAnsi="宋体"/>
          <w:sz w:val="24"/>
          <w:szCs w:val="24"/>
        </w:rPr>
      </w:pPr>
      <w:hyperlink r:id="rId9">
        <w:r w:rsidR="0012151A">
          <w:rPr>
            <w:rStyle w:val="ac"/>
            <w:rFonts w:asciiTheme="minorEastAsia" w:eastAsiaTheme="minorEastAsia" w:hAnsiTheme="minorEastAsia" w:hint="eastAsia"/>
            <w:color w:val="auto"/>
            <w:sz w:val="24"/>
            <w:szCs w:val="24"/>
            <w:u w:val="none"/>
          </w:rPr>
          <w:t>4</w:t>
        </w:r>
      </w:hyperlink>
      <w:r w:rsidR="0012151A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12151A">
        <w:rPr>
          <w:rFonts w:asciiTheme="minorEastAsia" w:eastAsiaTheme="minorEastAsia" w:hAnsiTheme="minorEastAsia"/>
          <w:sz w:val="24"/>
          <w:szCs w:val="24"/>
        </w:rPr>
        <w:t>征文截止日期为20</w:t>
      </w:r>
      <w:r w:rsidR="0012151A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12151A">
        <w:rPr>
          <w:rFonts w:asciiTheme="minorEastAsia" w:eastAsiaTheme="minorEastAsia" w:hAnsiTheme="minorEastAsia"/>
          <w:sz w:val="24"/>
          <w:szCs w:val="24"/>
        </w:rPr>
        <w:t>年</w:t>
      </w:r>
      <w:r w:rsidR="0012151A">
        <w:rPr>
          <w:rFonts w:asciiTheme="minorEastAsia" w:eastAsiaTheme="minorEastAsia" w:hAnsiTheme="minorEastAsia" w:hint="eastAsia"/>
          <w:sz w:val="24"/>
          <w:szCs w:val="24"/>
        </w:rPr>
        <w:t>11</w:t>
      </w:r>
      <w:r w:rsidR="0012151A">
        <w:rPr>
          <w:rFonts w:asciiTheme="minorEastAsia" w:eastAsiaTheme="minorEastAsia" w:hAnsiTheme="minorEastAsia"/>
          <w:sz w:val="24"/>
          <w:szCs w:val="24"/>
        </w:rPr>
        <w:t>月</w:t>
      </w:r>
      <w:r w:rsidR="0012151A">
        <w:rPr>
          <w:rFonts w:asciiTheme="minorEastAsia" w:eastAsiaTheme="minorEastAsia" w:hAnsiTheme="minorEastAsia" w:hint="eastAsia"/>
          <w:sz w:val="24"/>
          <w:szCs w:val="24"/>
        </w:rPr>
        <w:t>23日。</w:t>
      </w:r>
    </w:p>
    <w:p w:rsidR="005271AF" w:rsidRDefault="0012151A">
      <w:pPr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六</w:t>
      </w:r>
      <w:r>
        <w:rPr>
          <w:rFonts w:ascii="宋体" w:eastAsia="宋体" w:hAnsi="宋体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会议注册</w:t>
      </w:r>
      <w:r>
        <w:rPr>
          <w:rFonts w:ascii="宋体" w:eastAsia="宋体" w:hAnsi="宋体"/>
          <w:sz w:val="24"/>
          <w:szCs w:val="24"/>
        </w:rPr>
        <w:t>：</w:t>
      </w:r>
    </w:p>
    <w:p w:rsidR="005271AF" w:rsidRDefault="0012151A">
      <w:pPr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本次技术交流会对于</w:t>
      </w:r>
      <w:r>
        <w:rPr>
          <w:rFonts w:asciiTheme="minorEastAsia" w:eastAsiaTheme="minorEastAsia" w:hAnsiTheme="minorEastAsia" w:hint="eastAsia"/>
          <w:sz w:val="24"/>
          <w:szCs w:val="24"/>
        </w:rPr>
        <w:t>石油化工企事业单位、科研、设计院所、高校、检测监管部门、第三方平台等技术人员</w:t>
      </w:r>
      <w:r>
        <w:rPr>
          <w:rFonts w:asciiTheme="minorEastAsia" w:eastAsiaTheme="minorEastAsia" w:hAnsiTheme="minorEastAsia"/>
          <w:sz w:val="24"/>
          <w:szCs w:val="24"/>
        </w:rPr>
        <w:t>不收取</w:t>
      </w:r>
      <w:r>
        <w:rPr>
          <w:rFonts w:asciiTheme="minorEastAsia" w:eastAsiaTheme="minorEastAsia" w:hAnsiTheme="minorEastAsia" w:hint="eastAsia"/>
          <w:sz w:val="24"/>
          <w:szCs w:val="24"/>
        </w:rPr>
        <w:t>会议注册</w:t>
      </w:r>
      <w:r>
        <w:rPr>
          <w:rFonts w:asciiTheme="minorEastAsia" w:eastAsiaTheme="minorEastAsia" w:hAnsiTheme="minorEastAsia"/>
          <w:sz w:val="24"/>
          <w:szCs w:val="24"/>
        </w:rPr>
        <w:t>费用，会务组安排工作午餐，其它费用自付。欢迎石油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/>
          <w:sz w:val="24"/>
          <w:szCs w:val="24"/>
        </w:rPr>
        <w:t>化工行业</w:t>
      </w:r>
      <w:r>
        <w:rPr>
          <w:rFonts w:asciiTheme="minorEastAsia" w:eastAsiaTheme="minorEastAsia" w:hAnsiTheme="minorEastAsia" w:hint="eastAsia"/>
          <w:sz w:val="24"/>
          <w:szCs w:val="24"/>
        </w:rPr>
        <w:t>相关</w:t>
      </w:r>
      <w:r>
        <w:rPr>
          <w:rFonts w:asciiTheme="minorEastAsia" w:eastAsiaTheme="minorEastAsia" w:hAnsiTheme="minorEastAsia"/>
          <w:sz w:val="24"/>
          <w:szCs w:val="24"/>
        </w:rPr>
        <w:t>企事业单位技术负责人、管理人员、技术人员、研发技术人员等积极报名参会。</w:t>
      </w:r>
    </w:p>
    <w:p w:rsidR="005271AF" w:rsidRDefault="0012151A">
      <w:pPr>
        <w:spacing w:line="360" w:lineRule="auto"/>
        <w:ind w:firstLine="600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七、</w:t>
      </w:r>
      <w:r>
        <w:rPr>
          <w:rFonts w:ascii="宋体" w:eastAsia="宋体" w:hAnsi="宋体"/>
          <w:b/>
          <w:bCs/>
          <w:sz w:val="24"/>
          <w:szCs w:val="24"/>
        </w:rPr>
        <w:t>联系方式：</w:t>
      </w:r>
    </w:p>
    <w:p w:rsidR="005271AF" w:rsidRDefault="0012151A">
      <w:pPr>
        <w:wordWrap w:val="0"/>
        <w:spacing w:after="200" w:line="360" w:lineRule="auto"/>
        <w:ind w:firstLine="60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联系人：</w:t>
      </w:r>
      <w:r>
        <w:rPr>
          <w:rFonts w:ascii="宋体" w:eastAsia="宋体" w:hAnsi="宋体" w:hint="eastAsia"/>
          <w:sz w:val="24"/>
          <w:szCs w:val="24"/>
        </w:rPr>
        <w:t>刘继红  联系电话：13611289072（微信同） 邮箱：</w:t>
      </w:r>
      <w:hyperlink r:id="rId10" w:history="1">
        <w:r>
          <w:rPr>
            <w:rFonts w:ascii="宋体" w:eastAsia="宋体" w:hAnsi="宋体" w:hint="eastAsia"/>
            <w:sz w:val="24"/>
            <w:szCs w:val="24"/>
          </w:rPr>
          <w:t>r-well@163.com</w:t>
        </w:r>
      </w:hyperlink>
    </w:p>
    <w:p w:rsidR="005271AF" w:rsidRDefault="005271A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271AF" w:rsidRDefault="005271AF">
      <w:pPr>
        <w:spacing w:line="360" w:lineRule="auto"/>
        <w:ind w:firstLine="600"/>
        <w:jc w:val="left"/>
        <w:rPr>
          <w:rFonts w:ascii="宋体" w:eastAsia="仿宋" w:hAnsi="仿宋"/>
          <w:sz w:val="24"/>
          <w:szCs w:val="24"/>
        </w:rPr>
      </w:pPr>
    </w:p>
    <w:p w:rsidR="005271AF" w:rsidRDefault="0012151A" w:rsidP="00BC1FCA">
      <w:pPr>
        <w:spacing w:line="360" w:lineRule="auto"/>
        <w:ind w:right="480" w:firstLineChars="2300" w:firstLine="55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东北石油大学国家大学科技园</w:t>
      </w:r>
    </w:p>
    <w:p w:rsidR="005271AF" w:rsidRDefault="0012151A" w:rsidP="00D83749">
      <w:pPr>
        <w:spacing w:line="360" w:lineRule="auto"/>
        <w:ind w:right="480" w:firstLineChars="2550" w:firstLine="6120"/>
        <w:rPr>
          <w:rFonts w:ascii="宋体" w:eastAsia="仿宋" w:hAnsi="仿宋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10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13日</w:t>
      </w:r>
    </w:p>
    <w:sectPr w:rsidR="005271AF" w:rsidSect="005271AF">
      <w:footerReference w:type="default" r:id="rId11"/>
      <w:pgSz w:w="11906" w:h="16838"/>
      <w:pgMar w:top="1134" w:right="1134" w:bottom="1134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EF8" w:rsidRDefault="00EB2EF8" w:rsidP="005271AF">
      <w:r>
        <w:separator/>
      </w:r>
    </w:p>
  </w:endnote>
  <w:endnote w:type="continuationSeparator" w:id="1">
    <w:p w:rsidR="00EB2EF8" w:rsidRDefault="00EB2EF8" w:rsidP="00527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DA35F6CC-0427-4808-A0D0-3B1F9F81C8BA}"/>
    <w:embedBold r:id="rId2" w:subsetted="1" w:fontKey="{15F064DA-D741-4DC9-B878-9F6C72AC9CE7}"/>
  </w:font>
  <w:font w:name="方正小标宋_GBK">
    <w:charset w:val="00"/>
    <w:family w:val="auto"/>
    <w:pitch w:val="variable"/>
    <w:sig w:usb0="A00002EF" w:usb1="4000207B" w:usb2="00000000" w:usb3="00000000" w:csb0="FFFFFF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79A0761E-DA60-46CA-9688-3C34B275B1C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AF" w:rsidRDefault="00647F11">
    <w:pPr>
      <w:pStyle w:val="a4"/>
    </w:pPr>
    <w:r w:rsidRPr="00647F11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0;width:2in;height:20.8pt;z-index:251658240;mso-position-horizontal:center;mso-position-horizontal-relative:margin" o:preferrelative="t" filled="f" stroked="f">
          <v:textbox style="mso-fit-shape-to-text:t" inset="0,0,0,0">
            <w:txbxContent>
              <w:p w:rsidR="005271AF" w:rsidRDefault="00647F11">
                <w:pPr>
                  <w:pStyle w:val="a4"/>
                  <w:ind w:firstLineChars="650" w:firstLine="1170"/>
                  <w:rPr>
                    <w:rFonts w:ascii="仿宋" w:eastAsia="仿宋" w:hAnsi="仿宋"/>
                    <w:sz w:val="21"/>
                    <w:szCs w:val="21"/>
                  </w:rPr>
                </w:pPr>
                <w:r w:rsidRPr="00647F11">
                  <w:fldChar w:fldCharType="begin"/>
                </w:r>
                <w:r w:rsidR="0012151A">
                  <w:instrText>PAGE  \* MERGEFORMAT</w:instrText>
                </w:r>
                <w:r w:rsidRPr="00647F11">
                  <w:fldChar w:fldCharType="separate"/>
                </w:r>
                <w:r w:rsidR="003A38B9" w:rsidRPr="003A38B9">
                  <w:rPr>
                    <w:rFonts w:ascii="仿宋" w:eastAsia="仿宋" w:hAnsi="仿宋"/>
                    <w:noProof/>
                    <w:sz w:val="24"/>
                    <w:szCs w:val="24"/>
                  </w:rPr>
                  <w:t>- 3 -</w:t>
                </w:r>
                <w:r>
                  <w:rPr>
                    <w:rFonts w:ascii="仿宋" w:eastAsia="仿宋" w:hAnsi="仿宋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EF8" w:rsidRDefault="00EB2EF8" w:rsidP="005271AF">
      <w:r>
        <w:separator/>
      </w:r>
    </w:p>
  </w:footnote>
  <w:footnote w:type="continuationSeparator" w:id="1">
    <w:p w:rsidR="00EB2EF8" w:rsidRDefault="00EB2EF8" w:rsidP="00527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bordersDoNotSurroundHeader/>
  <w:bordersDoNotSurroundFooter/>
  <w:defaultTabStop w:val="420"/>
  <w:noPunctuationKerning/>
  <w:characterSpacingControl w:val="compressPunctuation"/>
  <w:hdrShapeDefaults>
    <o:shapedefaults v:ext="edit" spidmax="11266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F2F3D"/>
    <w:rsid w:val="00030FE8"/>
    <w:rsid w:val="00091134"/>
    <w:rsid w:val="000C5338"/>
    <w:rsid w:val="0012151A"/>
    <w:rsid w:val="00166D9F"/>
    <w:rsid w:val="001B29D9"/>
    <w:rsid w:val="001C308D"/>
    <w:rsid w:val="001E363B"/>
    <w:rsid w:val="001F1C5C"/>
    <w:rsid w:val="001F494F"/>
    <w:rsid w:val="00274CF1"/>
    <w:rsid w:val="00292EA9"/>
    <w:rsid w:val="002A7F88"/>
    <w:rsid w:val="002C5411"/>
    <w:rsid w:val="002D1086"/>
    <w:rsid w:val="002E39A1"/>
    <w:rsid w:val="00302FB8"/>
    <w:rsid w:val="00323F9B"/>
    <w:rsid w:val="00324B8F"/>
    <w:rsid w:val="00324CF3"/>
    <w:rsid w:val="0033720D"/>
    <w:rsid w:val="00366644"/>
    <w:rsid w:val="00392499"/>
    <w:rsid w:val="003A38B9"/>
    <w:rsid w:val="003A7ED6"/>
    <w:rsid w:val="003B450F"/>
    <w:rsid w:val="003C5349"/>
    <w:rsid w:val="003E1355"/>
    <w:rsid w:val="003E2F0C"/>
    <w:rsid w:val="00403FB8"/>
    <w:rsid w:val="004B3A6E"/>
    <w:rsid w:val="004C0FF2"/>
    <w:rsid w:val="004C3A1C"/>
    <w:rsid w:val="005271AF"/>
    <w:rsid w:val="00534986"/>
    <w:rsid w:val="00593695"/>
    <w:rsid w:val="005E561B"/>
    <w:rsid w:val="00601B11"/>
    <w:rsid w:val="00645BDA"/>
    <w:rsid w:val="00647D21"/>
    <w:rsid w:val="00647F11"/>
    <w:rsid w:val="006A2E1C"/>
    <w:rsid w:val="006B6D14"/>
    <w:rsid w:val="006C315A"/>
    <w:rsid w:val="006F7903"/>
    <w:rsid w:val="00714058"/>
    <w:rsid w:val="00733FE4"/>
    <w:rsid w:val="00736AA3"/>
    <w:rsid w:val="007A01BD"/>
    <w:rsid w:val="007D2A16"/>
    <w:rsid w:val="00813DA9"/>
    <w:rsid w:val="0082709B"/>
    <w:rsid w:val="0082794E"/>
    <w:rsid w:val="00827F68"/>
    <w:rsid w:val="008847FF"/>
    <w:rsid w:val="008A6A79"/>
    <w:rsid w:val="008B251C"/>
    <w:rsid w:val="008C7E34"/>
    <w:rsid w:val="008D4DC0"/>
    <w:rsid w:val="00920CA3"/>
    <w:rsid w:val="00932001"/>
    <w:rsid w:val="009346D7"/>
    <w:rsid w:val="00941872"/>
    <w:rsid w:val="00950BE5"/>
    <w:rsid w:val="00A42C4C"/>
    <w:rsid w:val="00A5536F"/>
    <w:rsid w:val="00A647C5"/>
    <w:rsid w:val="00A73F41"/>
    <w:rsid w:val="00A8543B"/>
    <w:rsid w:val="00A87B31"/>
    <w:rsid w:val="00B42905"/>
    <w:rsid w:val="00B4469A"/>
    <w:rsid w:val="00B63002"/>
    <w:rsid w:val="00BC1FCA"/>
    <w:rsid w:val="00BD4297"/>
    <w:rsid w:val="00BF4505"/>
    <w:rsid w:val="00C20AF3"/>
    <w:rsid w:val="00C46776"/>
    <w:rsid w:val="00C46B48"/>
    <w:rsid w:val="00C54776"/>
    <w:rsid w:val="00C8178A"/>
    <w:rsid w:val="00D11863"/>
    <w:rsid w:val="00D40708"/>
    <w:rsid w:val="00D52CF3"/>
    <w:rsid w:val="00D73FB4"/>
    <w:rsid w:val="00D83749"/>
    <w:rsid w:val="00DB7496"/>
    <w:rsid w:val="00DE54E4"/>
    <w:rsid w:val="00E10768"/>
    <w:rsid w:val="00E3155B"/>
    <w:rsid w:val="00E549B7"/>
    <w:rsid w:val="00E568B2"/>
    <w:rsid w:val="00E62550"/>
    <w:rsid w:val="00E64C12"/>
    <w:rsid w:val="00E83EF2"/>
    <w:rsid w:val="00EB2EF8"/>
    <w:rsid w:val="00F0405D"/>
    <w:rsid w:val="00F83DFA"/>
    <w:rsid w:val="00F97B44"/>
    <w:rsid w:val="00FA3FD2"/>
    <w:rsid w:val="00FE7DE2"/>
    <w:rsid w:val="00FF2F3D"/>
    <w:rsid w:val="01D27897"/>
    <w:rsid w:val="10F069BB"/>
    <w:rsid w:val="16201651"/>
    <w:rsid w:val="214A2C86"/>
    <w:rsid w:val="31564937"/>
    <w:rsid w:val="50B45836"/>
    <w:rsid w:val="57593DA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2"/>
      <o:rules v:ext="edit">
        <o:r id="V:Rule2" type="connector" idref="#自选图形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7" w:unhideWhenUsed="0" w:qFormat="1"/>
    <w:lsdException w:name="heading 2" w:semiHidden="0" w:uiPriority="8" w:unhideWhenUsed="0" w:qFormat="1"/>
    <w:lsdException w:name="heading 3" w:semiHidden="0" w:uiPriority="9" w:unhideWhenUsed="0" w:qFormat="1"/>
    <w:lsdException w:name="heading 4" w:semiHidden="0" w:uiPriority="10" w:unhideWhenUsed="0" w:qFormat="1"/>
    <w:lsdException w:name="heading 5" w:semiHidden="0" w:uiPriority="11" w:unhideWhenUsed="0" w:qFormat="1"/>
    <w:lsdException w:name="heading 6" w:semiHidden="0" w:uiPriority="12" w:unhideWhenUsed="0" w:qFormat="1"/>
    <w:lsdException w:name="heading 7" w:semiHidden="0" w:uiPriority="13" w:unhideWhenUsed="0" w:qFormat="1"/>
    <w:lsdException w:name="heading 8" w:semiHidden="0" w:uiPriority="14" w:unhideWhenUsed="0" w:qFormat="1"/>
    <w:lsdException w:name="heading 9" w:semiHidden="0" w:uiPriority="15" w:unhideWhenUsed="0" w:qFormat="1"/>
    <w:lsdException w:name="toc 1" w:semiHidden="0" w:uiPriority="28" w:qFormat="1"/>
    <w:lsdException w:name="toc 2" w:semiHidden="0" w:uiPriority="29" w:qFormat="1"/>
    <w:lsdException w:name="toc 3" w:semiHidden="0" w:uiPriority="30" w:qFormat="1"/>
    <w:lsdException w:name="toc 4" w:semiHidden="0" w:uiPriority="31" w:qFormat="1"/>
    <w:lsdException w:name="toc 5" w:semiHidden="0" w:uiPriority="32" w:qFormat="1"/>
    <w:lsdException w:name="toc 6" w:semiHidden="0" w:uiPriority="33" w:qFormat="1"/>
    <w:lsdException w:name="toc 7" w:semiHidden="0" w:uiPriority="34" w:qFormat="1"/>
    <w:lsdException w:name="toc 8" w:semiHidden="0" w:uiPriority="35" w:qFormat="1"/>
    <w:lsdException w:name="toc 9" w:semiHidden="0" w:uiPriority="36" w:qFormat="1"/>
    <w:lsdException w:name="header" w:uiPriority="0" w:qFormat="1"/>
    <w:lsdException w:name="footer" w:uiPriority="0" w:qFormat="1"/>
    <w:lsdException w:name="caption" w:uiPriority="35" w:qFormat="1"/>
    <w:lsdException w:name="Title" w:semiHidden="0" w:uiPriority="6" w:unhideWhenUsed="0" w:qFormat="1"/>
    <w:lsdException w:name="Default Paragraph Font" w:uiPriority="1"/>
    <w:lsdException w:name="Subtitle" w:semiHidden="0" w:uiPriority="16" w:unhideWhenUsed="0" w:qFormat="1"/>
    <w:lsdException w:name="Date" w:uiPriority="0" w:qFormat="1"/>
    <w:lsdException w:name="Hyperlink" w:semiHidden="0" w:uiPriority="0" w:qFormat="1"/>
    <w:lsdException w:name="FollowedHyperlink" w:qFormat="1"/>
    <w:lsdException w:name="Strong" w:semiHidden="0" w:uiPriority="22" w:unhideWhenUsed="0" w:qFormat="1"/>
    <w:lsdException w:name="Emphasis" w:semiHidden="0" w:uiPriority="18" w:unhideWhenUsed="0" w:qFormat="1"/>
    <w:lsdException w:name="Normal Table" w:qFormat="1"/>
    <w:lsdException w:name="Table Grid" w:semiHidden="0" w:uiPriority="37" w:unhideWhenUsed="0" w:qFormat="1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26" w:unhideWhenUsed="0" w:qFormat="1"/>
    <w:lsdException w:name="Quote" w:semiHidden="0" w:uiPriority="21" w:unhideWhenUsed="0" w:qFormat="1"/>
    <w:lsdException w:name="Intense Quote" w:semiHidden="0" w:uiPriority="2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71AF"/>
    <w:pPr>
      <w:jc w:val="both"/>
    </w:pPr>
    <w:rPr>
      <w:rFonts w:ascii="Calibri" w:eastAsia="Calibri" w:hAnsi="Calibri"/>
      <w:sz w:val="21"/>
      <w:szCs w:val="21"/>
    </w:rPr>
  </w:style>
  <w:style w:type="paragraph" w:styleId="1">
    <w:name w:val="heading 1"/>
    <w:next w:val="a"/>
    <w:uiPriority w:val="7"/>
    <w:qFormat/>
    <w:rsid w:val="005271AF"/>
    <w:pPr>
      <w:jc w:val="both"/>
      <w:outlineLvl w:val="0"/>
    </w:pPr>
    <w:rPr>
      <w:rFonts w:ascii="Calibri" w:eastAsia="Calibri" w:hAnsi="Calibri"/>
      <w:sz w:val="28"/>
      <w:szCs w:val="28"/>
    </w:rPr>
  </w:style>
  <w:style w:type="paragraph" w:styleId="2">
    <w:name w:val="heading 2"/>
    <w:next w:val="a"/>
    <w:uiPriority w:val="8"/>
    <w:qFormat/>
    <w:rsid w:val="005271AF"/>
    <w:pPr>
      <w:jc w:val="both"/>
      <w:outlineLvl w:val="1"/>
    </w:pPr>
    <w:rPr>
      <w:rFonts w:ascii="Calibri" w:eastAsia="Calibri" w:hAnsi="Calibri"/>
      <w:sz w:val="21"/>
      <w:szCs w:val="21"/>
    </w:rPr>
  </w:style>
  <w:style w:type="paragraph" w:styleId="3">
    <w:name w:val="heading 3"/>
    <w:next w:val="a"/>
    <w:uiPriority w:val="9"/>
    <w:qFormat/>
    <w:rsid w:val="005271AF"/>
    <w:pPr>
      <w:ind w:left="1000" w:hanging="400"/>
      <w:jc w:val="both"/>
      <w:outlineLvl w:val="2"/>
    </w:pPr>
    <w:rPr>
      <w:rFonts w:ascii="Calibri" w:eastAsia="Calibri" w:hAnsi="Calibri"/>
      <w:sz w:val="21"/>
      <w:szCs w:val="21"/>
    </w:rPr>
  </w:style>
  <w:style w:type="paragraph" w:styleId="4">
    <w:name w:val="heading 4"/>
    <w:next w:val="a"/>
    <w:uiPriority w:val="10"/>
    <w:qFormat/>
    <w:rsid w:val="005271AF"/>
    <w:pPr>
      <w:ind w:left="1200" w:hanging="400"/>
      <w:jc w:val="both"/>
      <w:outlineLvl w:val="3"/>
    </w:pPr>
    <w:rPr>
      <w:rFonts w:ascii="Calibri" w:eastAsia="Calibri" w:hAnsi="Calibri"/>
      <w:b/>
    </w:rPr>
  </w:style>
  <w:style w:type="paragraph" w:styleId="5">
    <w:name w:val="heading 5"/>
    <w:next w:val="a"/>
    <w:uiPriority w:val="11"/>
    <w:qFormat/>
    <w:rsid w:val="005271AF"/>
    <w:pPr>
      <w:ind w:left="1400" w:hanging="400"/>
      <w:jc w:val="both"/>
      <w:outlineLvl w:val="4"/>
    </w:pPr>
    <w:rPr>
      <w:rFonts w:ascii="Calibri" w:eastAsia="Calibri" w:hAnsi="Calibri"/>
      <w:sz w:val="21"/>
      <w:szCs w:val="21"/>
    </w:rPr>
  </w:style>
  <w:style w:type="paragraph" w:styleId="6">
    <w:name w:val="heading 6"/>
    <w:next w:val="a"/>
    <w:uiPriority w:val="12"/>
    <w:qFormat/>
    <w:rsid w:val="005271AF"/>
    <w:pPr>
      <w:ind w:left="1600" w:hanging="400"/>
      <w:jc w:val="both"/>
      <w:outlineLvl w:val="5"/>
    </w:pPr>
    <w:rPr>
      <w:rFonts w:ascii="Calibri" w:eastAsia="Calibri" w:hAnsi="Calibri"/>
      <w:b/>
    </w:rPr>
  </w:style>
  <w:style w:type="paragraph" w:styleId="7">
    <w:name w:val="heading 7"/>
    <w:next w:val="a"/>
    <w:uiPriority w:val="13"/>
    <w:qFormat/>
    <w:rsid w:val="005271AF"/>
    <w:pPr>
      <w:ind w:left="1800" w:hanging="400"/>
      <w:jc w:val="both"/>
      <w:outlineLvl w:val="6"/>
    </w:pPr>
    <w:rPr>
      <w:rFonts w:ascii="Calibri" w:eastAsia="Calibri" w:hAnsi="Calibri"/>
      <w:sz w:val="21"/>
      <w:szCs w:val="21"/>
    </w:rPr>
  </w:style>
  <w:style w:type="paragraph" w:styleId="8">
    <w:name w:val="heading 8"/>
    <w:next w:val="a"/>
    <w:uiPriority w:val="14"/>
    <w:qFormat/>
    <w:rsid w:val="005271AF"/>
    <w:pPr>
      <w:ind w:left="2000" w:hanging="400"/>
      <w:jc w:val="both"/>
      <w:outlineLvl w:val="7"/>
    </w:pPr>
    <w:rPr>
      <w:rFonts w:ascii="Calibri" w:eastAsia="Calibri" w:hAnsi="Calibri"/>
      <w:sz w:val="21"/>
      <w:szCs w:val="21"/>
    </w:rPr>
  </w:style>
  <w:style w:type="paragraph" w:styleId="9">
    <w:name w:val="heading 9"/>
    <w:next w:val="a"/>
    <w:uiPriority w:val="15"/>
    <w:qFormat/>
    <w:rsid w:val="005271AF"/>
    <w:pPr>
      <w:ind w:left="2200" w:hanging="400"/>
      <w:jc w:val="both"/>
      <w:outlineLvl w:val="8"/>
    </w:pPr>
    <w:rPr>
      <w:rFonts w:ascii="Calibri" w:eastAsia="Calibri" w:hAnsi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5271AF"/>
    <w:pPr>
      <w:ind w:left="2550"/>
      <w:jc w:val="both"/>
    </w:pPr>
    <w:rPr>
      <w:rFonts w:ascii="Calibri" w:eastAsia="Calibri" w:hAnsi="Calibri"/>
      <w:sz w:val="21"/>
      <w:szCs w:val="21"/>
    </w:rPr>
  </w:style>
  <w:style w:type="paragraph" w:styleId="50">
    <w:name w:val="toc 5"/>
    <w:next w:val="a"/>
    <w:uiPriority w:val="32"/>
    <w:unhideWhenUsed/>
    <w:qFormat/>
    <w:rsid w:val="005271AF"/>
    <w:pPr>
      <w:ind w:left="1700"/>
      <w:jc w:val="both"/>
    </w:pPr>
    <w:rPr>
      <w:rFonts w:ascii="Calibri" w:eastAsia="Calibri" w:hAnsi="Calibri"/>
      <w:sz w:val="21"/>
      <w:szCs w:val="21"/>
    </w:rPr>
  </w:style>
  <w:style w:type="paragraph" w:styleId="30">
    <w:name w:val="toc 3"/>
    <w:next w:val="a"/>
    <w:uiPriority w:val="30"/>
    <w:unhideWhenUsed/>
    <w:qFormat/>
    <w:rsid w:val="005271AF"/>
    <w:pPr>
      <w:ind w:left="850"/>
      <w:jc w:val="both"/>
    </w:pPr>
    <w:rPr>
      <w:rFonts w:ascii="Calibri" w:eastAsia="Calibri" w:hAnsi="Calibri"/>
      <w:sz w:val="21"/>
      <w:szCs w:val="21"/>
    </w:rPr>
  </w:style>
  <w:style w:type="paragraph" w:styleId="80">
    <w:name w:val="toc 8"/>
    <w:next w:val="a"/>
    <w:uiPriority w:val="35"/>
    <w:unhideWhenUsed/>
    <w:qFormat/>
    <w:rsid w:val="005271AF"/>
    <w:pPr>
      <w:ind w:left="2975"/>
      <w:jc w:val="both"/>
    </w:pPr>
    <w:rPr>
      <w:rFonts w:ascii="Calibri" w:eastAsia="Calibri" w:hAnsi="Calibri"/>
      <w:sz w:val="21"/>
      <w:szCs w:val="21"/>
    </w:rPr>
  </w:style>
  <w:style w:type="paragraph" w:styleId="a3">
    <w:name w:val="Date"/>
    <w:basedOn w:val="a"/>
    <w:next w:val="a"/>
    <w:link w:val="Char"/>
    <w:semiHidden/>
    <w:unhideWhenUsed/>
    <w:qFormat/>
    <w:rsid w:val="005271AF"/>
    <w:pPr>
      <w:ind w:left="100"/>
    </w:pPr>
  </w:style>
  <w:style w:type="paragraph" w:styleId="a4">
    <w:name w:val="footer"/>
    <w:basedOn w:val="a"/>
    <w:link w:val="Char0"/>
    <w:semiHidden/>
    <w:unhideWhenUsed/>
    <w:qFormat/>
    <w:rsid w:val="005271A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semiHidden/>
    <w:unhideWhenUsed/>
    <w:qFormat/>
    <w:rsid w:val="005271AF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5271AF"/>
    <w:pPr>
      <w:jc w:val="both"/>
    </w:pPr>
    <w:rPr>
      <w:rFonts w:ascii="Calibri" w:eastAsia="Calibri" w:hAnsi="Calibri"/>
      <w:sz w:val="21"/>
      <w:szCs w:val="21"/>
    </w:rPr>
  </w:style>
  <w:style w:type="paragraph" w:styleId="40">
    <w:name w:val="toc 4"/>
    <w:next w:val="a"/>
    <w:uiPriority w:val="31"/>
    <w:unhideWhenUsed/>
    <w:qFormat/>
    <w:rsid w:val="005271AF"/>
    <w:pPr>
      <w:ind w:left="1275"/>
      <w:jc w:val="both"/>
    </w:pPr>
    <w:rPr>
      <w:rFonts w:ascii="Calibri" w:eastAsia="Calibri" w:hAnsi="Calibri"/>
      <w:sz w:val="21"/>
      <w:szCs w:val="21"/>
    </w:rPr>
  </w:style>
  <w:style w:type="paragraph" w:styleId="a6">
    <w:name w:val="Subtitle"/>
    <w:uiPriority w:val="16"/>
    <w:qFormat/>
    <w:rsid w:val="005271AF"/>
    <w:pPr>
      <w:jc w:val="center"/>
    </w:pPr>
    <w:rPr>
      <w:rFonts w:ascii="Calibri" w:eastAsia="Calibri" w:hAnsi="Calibri"/>
      <w:sz w:val="24"/>
      <w:szCs w:val="24"/>
    </w:rPr>
  </w:style>
  <w:style w:type="paragraph" w:styleId="60">
    <w:name w:val="toc 6"/>
    <w:next w:val="a"/>
    <w:uiPriority w:val="33"/>
    <w:unhideWhenUsed/>
    <w:qFormat/>
    <w:rsid w:val="005271AF"/>
    <w:pPr>
      <w:ind w:left="2125"/>
      <w:jc w:val="both"/>
    </w:pPr>
    <w:rPr>
      <w:rFonts w:ascii="Calibri" w:eastAsia="Calibri" w:hAnsi="Calibri"/>
      <w:sz w:val="21"/>
      <w:szCs w:val="21"/>
    </w:rPr>
  </w:style>
  <w:style w:type="paragraph" w:styleId="20">
    <w:name w:val="toc 2"/>
    <w:next w:val="a"/>
    <w:uiPriority w:val="29"/>
    <w:unhideWhenUsed/>
    <w:qFormat/>
    <w:rsid w:val="005271AF"/>
    <w:pPr>
      <w:ind w:left="425"/>
      <w:jc w:val="both"/>
    </w:pPr>
    <w:rPr>
      <w:rFonts w:ascii="Calibri" w:eastAsia="Calibri" w:hAnsi="Calibri"/>
      <w:sz w:val="21"/>
      <w:szCs w:val="21"/>
    </w:rPr>
  </w:style>
  <w:style w:type="paragraph" w:styleId="90">
    <w:name w:val="toc 9"/>
    <w:next w:val="a"/>
    <w:uiPriority w:val="36"/>
    <w:unhideWhenUsed/>
    <w:qFormat/>
    <w:rsid w:val="005271AF"/>
    <w:pPr>
      <w:ind w:left="3400"/>
      <w:jc w:val="both"/>
    </w:pPr>
    <w:rPr>
      <w:rFonts w:ascii="Calibri" w:eastAsia="Calibri" w:hAnsi="Calibri"/>
      <w:sz w:val="21"/>
      <w:szCs w:val="21"/>
    </w:rPr>
  </w:style>
  <w:style w:type="paragraph" w:styleId="a7">
    <w:name w:val="Title"/>
    <w:uiPriority w:val="6"/>
    <w:qFormat/>
    <w:rsid w:val="005271AF"/>
    <w:pPr>
      <w:jc w:val="center"/>
    </w:pPr>
    <w:rPr>
      <w:rFonts w:ascii="Calibri" w:eastAsia="Calibri" w:hAnsi="Calibri"/>
      <w:b/>
      <w:sz w:val="32"/>
      <w:szCs w:val="32"/>
    </w:rPr>
  </w:style>
  <w:style w:type="table" w:styleId="a8">
    <w:name w:val="Table Grid"/>
    <w:basedOn w:val="a1"/>
    <w:uiPriority w:val="37"/>
    <w:qFormat/>
    <w:rsid w:val="00527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271AF"/>
    <w:rPr>
      <w:b/>
      <w:w w:val="100"/>
      <w:sz w:val="20"/>
      <w:szCs w:val="20"/>
      <w:shd w:val="clear" w:color="000000" w:fill="auto"/>
    </w:rPr>
  </w:style>
  <w:style w:type="character" w:styleId="aa">
    <w:name w:val="FollowedHyperlink"/>
    <w:basedOn w:val="a0"/>
    <w:uiPriority w:val="99"/>
    <w:semiHidden/>
    <w:unhideWhenUsed/>
    <w:qFormat/>
    <w:rsid w:val="005271AF"/>
    <w:rPr>
      <w:color w:val="000000"/>
      <w:u w:val="none"/>
    </w:rPr>
  </w:style>
  <w:style w:type="character" w:styleId="ab">
    <w:name w:val="Emphasis"/>
    <w:uiPriority w:val="18"/>
    <w:qFormat/>
    <w:rsid w:val="005271AF"/>
    <w:rPr>
      <w:i/>
      <w:w w:val="100"/>
      <w:sz w:val="21"/>
      <w:szCs w:val="21"/>
      <w:shd w:val="clear" w:color="000000" w:fill="auto"/>
    </w:rPr>
  </w:style>
  <w:style w:type="character" w:styleId="ac">
    <w:name w:val="Hyperlink"/>
    <w:basedOn w:val="a0"/>
    <w:unhideWhenUsed/>
    <w:qFormat/>
    <w:rsid w:val="005271AF"/>
    <w:rPr>
      <w:color w:val="0000FF" w:themeColor="hyperlink"/>
      <w:w w:val="100"/>
      <w:sz w:val="20"/>
      <w:szCs w:val="20"/>
      <w:u w:val="single"/>
      <w:shd w:val="clear" w:color="000000" w:fill="auto"/>
    </w:rPr>
  </w:style>
  <w:style w:type="paragraph" w:styleId="ad">
    <w:name w:val="No Spacing"/>
    <w:uiPriority w:val="5"/>
    <w:qFormat/>
    <w:rsid w:val="005271AF"/>
    <w:pPr>
      <w:jc w:val="both"/>
    </w:pPr>
    <w:rPr>
      <w:rFonts w:ascii="Calibri" w:eastAsia="Calibri" w:hAnsi="Calibri"/>
      <w:sz w:val="21"/>
      <w:szCs w:val="21"/>
    </w:rPr>
  </w:style>
  <w:style w:type="character" w:customStyle="1" w:styleId="11">
    <w:name w:val="不明显强调1"/>
    <w:uiPriority w:val="17"/>
    <w:qFormat/>
    <w:rsid w:val="005271AF"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12">
    <w:name w:val="明显强调1"/>
    <w:uiPriority w:val="19"/>
    <w:qFormat/>
    <w:rsid w:val="005271AF"/>
    <w:rPr>
      <w:i/>
      <w:color w:val="5B9BD5"/>
      <w:w w:val="100"/>
      <w:sz w:val="21"/>
      <w:szCs w:val="21"/>
      <w:shd w:val="clear" w:color="000000" w:fill="auto"/>
    </w:rPr>
  </w:style>
  <w:style w:type="paragraph" w:styleId="ae">
    <w:name w:val="Quote"/>
    <w:uiPriority w:val="21"/>
    <w:qFormat/>
    <w:rsid w:val="005271AF"/>
    <w:pPr>
      <w:ind w:left="864" w:right="864"/>
      <w:jc w:val="center"/>
    </w:pPr>
    <w:rPr>
      <w:rFonts w:ascii="Calibri" w:eastAsia="Calibri" w:hAnsi="Calibri"/>
      <w:i/>
      <w:color w:val="404040"/>
    </w:rPr>
  </w:style>
  <w:style w:type="paragraph" w:styleId="af">
    <w:name w:val="Intense Quote"/>
    <w:uiPriority w:val="22"/>
    <w:qFormat/>
    <w:rsid w:val="005271AF"/>
    <w:pPr>
      <w:ind w:left="950" w:right="950"/>
      <w:jc w:val="center"/>
    </w:pPr>
    <w:rPr>
      <w:rFonts w:ascii="Calibri" w:eastAsia="Calibri" w:hAnsi="Calibri"/>
      <w:i/>
      <w:color w:val="5B9BD5"/>
    </w:rPr>
  </w:style>
  <w:style w:type="character" w:customStyle="1" w:styleId="13">
    <w:name w:val="不明显参考1"/>
    <w:uiPriority w:val="23"/>
    <w:qFormat/>
    <w:rsid w:val="005271AF"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14">
    <w:name w:val="明显参考1"/>
    <w:uiPriority w:val="24"/>
    <w:qFormat/>
    <w:rsid w:val="005271AF"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15">
    <w:name w:val="书籍标题1"/>
    <w:uiPriority w:val="25"/>
    <w:qFormat/>
    <w:rsid w:val="005271AF"/>
    <w:rPr>
      <w:b/>
      <w:i/>
      <w:w w:val="100"/>
      <w:sz w:val="21"/>
      <w:szCs w:val="21"/>
      <w:shd w:val="clear" w:color="000000" w:fill="auto"/>
    </w:rPr>
  </w:style>
  <w:style w:type="paragraph" w:styleId="af0">
    <w:name w:val="List Paragraph"/>
    <w:basedOn w:val="a"/>
    <w:uiPriority w:val="26"/>
    <w:qFormat/>
    <w:rsid w:val="005271AF"/>
    <w:pPr>
      <w:ind w:firstLine="420"/>
    </w:pPr>
  </w:style>
  <w:style w:type="paragraph" w:customStyle="1" w:styleId="TOC1">
    <w:name w:val="TOC 标题1"/>
    <w:uiPriority w:val="27"/>
    <w:unhideWhenUsed/>
    <w:qFormat/>
    <w:rsid w:val="005271AF"/>
    <w:rPr>
      <w:color w:val="2E74B5"/>
      <w:sz w:val="32"/>
      <w:szCs w:val="32"/>
    </w:rPr>
  </w:style>
  <w:style w:type="table" w:customStyle="1" w:styleId="Calendar1">
    <w:name w:val="Calendar1"/>
    <w:basedOn w:val="a1"/>
    <w:qFormat/>
    <w:rsid w:val="005271AF"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w w:val="100"/>
        <w:sz w:val="44"/>
        <w:szCs w:val="44"/>
        <w:shd w:val="clear" w:color="000000" w:fill="auto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customStyle="1" w:styleId="Calendar2">
    <w:name w:val="Calendar2"/>
    <w:basedOn w:val="a1"/>
    <w:qFormat/>
    <w:rsid w:val="005271AF"/>
    <w:pPr>
      <w:jc w:val="center"/>
    </w:pPr>
    <w:rPr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F81BD" w:themeColor="accent1"/>
        <w:w w:val="100"/>
        <w:sz w:val="32"/>
        <w:szCs w:val="32"/>
        <w:shd w:val="clear" w:color="000000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3"/>
    <w:basedOn w:val="a1"/>
    <w:qFormat/>
    <w:rsid w:val="005271AF"/>
    <w:pPr>
      <w:jc w:val="right"/>
    </w:pPr>
    <w:rPr>
      <w:color w:val="000000" w:themeColor="text1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color w:val="4F81BD" w:themeColor="accent1"/>
        <w:w w:val="100"/>
        <w:sz w:val="20"/>
        <w:szCs w:val="20"/>
        <w:shd w:val="clear" w:color="000000" w:fill="auto"/>
      </w:rPr>
    </w:tblStylePr>
    <w:tblStylePr w:type="firstCol">
      <w:rPr>
        <w:color w:val="4F81BD" w:themeColor="accent1"/>
        <w:w w:val="100"/>
        <w:sz w:val="20"/>
        <w:szCs w:val="20"/>
        <w:shd w:val="clear" w:color="000000" w:fill="auto"/>
      </w:rPr>
    </w:tblStylePr>
    <w:tblStylePr w:type="lastCol">
      <w:rPr>
        <w:color w:val="4F81BD" w:themeColor="accent1"/>
        <w:w w:val="100"/>
        <w:sz w:val="20"/>
        <w:szCs w:val="20"/>
        <w:shd w:val="clear" w:color="000000" w:fill="auto"/>
      </w:rPr>
    </w:tblStylePr>
  </w:style>
  <w:style w:type="table" w:customStyle="1" w:styleId="Calendar4">
    <w:name w:val="Calendar4"/>
    <w:basedOn w:val="a1"/>
    <w:qFormat/>
    <w:rsid w:val="005271AF"/>
    <w:rPr>
      <w:b/>
      <w:color w:val="FFFFFF" w:themeColor="background1"/>
      <w:sz w:val="16"/>
      <w:szCs w:val="16"/>
    </w:rPr>
    <w:tblPr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243F60" w:themeFill="accent1" w:themeFillShade="7F"/>
    </w:tcPr>
    <w:tblStylePr w:type="firstRow">
      <w:rPr>
        <w:color w:val="4F81BD" w:themeColor="accent1"/>
        <w:w w:val="100"/>
        <w:sz w:val="8"/>
        <w:szCs w:val="8"/>
        <w:shd w:val="clear" w:color="000000" w:fill="auto"/>
      </w:rPr>
    </w:tblStylePr>
    <w:tblStylePr w:type="firstCol">
      <w:pPr>
        <w:jc w:val="both"/>
      </w:pPr>
      <w:rPr>
        <w:b/>
        <w:color w:val="4F81BD" w:themeColor="accent1"/>
        <w:w w:val="100"/>
        <w:sz w:val="20"/>
        <w:szCs w:val="20"/>
        <w:shd w:val="clear" w:color="000000" w:fill="auto"/>
      </w:rPr>
    </w:tblStylePr>
    <w:tblStylePr w:type="band1Horz">
      <w:rPr>
        <w:w w:val="100"/>
        <w:sz w:val="16"/>
        <w:szCs w:val="16"/>
        <w:shd w:val="clear" w:color="000000" w:fill="auto"/>
      </w:rPr>
    </w:tblStylePr>
    <w:tblStylePr w:type="band2Horz">
      <w:rPr>
        <w:w w:val="100"/>
        <w:sz w:val="28"/>
        <w:szCs w:val="28"/>
        <w:shd w:val="clear" w:color="000000" w:fill="auto"/>
      </w:rPr>
      <w:tblPr/>
      <w:tcPr>
        <w:tcMar>
          <w:top w:w="115" w:type="dxa"/>
          <w:left w:w="0" w:type="dxa"/>
          <w:bottom w:w="115" w:type="dxa"/>
          <w:right w:w="86" w:type="dxa"/>
        </w:tcMar>
      </w:tcPr>
    </w:tblStylePr>
    <w:tblStylePr w:type="nwCell">
      <w:rPr>
        <w:w w:val="100"/>
        <w:sz w:val="8"/>
        <w:szCs w:val="8"/>
        <w:shd w:val="clear" w:color="000000" w:fill="auto"/>
      </w:rPr>
    </w:tblStylePr>
  </w:style>
  <w:style w:type="table" w:customStyle="1" w:styleId="LightShading-Accent1">
    <w:name w:val="LightShading-Accent1"/>
    <w:basedOn w:val="a1"/>
    <w:qFormat/>
    <w:rsid w:val="005271AF"/>
    <w:rPr>
      <w:color w:val="3E6CA5" w:themeColor="accent1" w:themeShade="D8"/>
      <w:sz w:val="22"/>
      <w:szCs w:val="22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jc w:val="both"/>
      </w:p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D4E0EF" w:themeFill="accent1" w:themeFillTint="3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000000" w:fill="D4E0EF" w:themeFill="accent1" w:themeFillTint="3E"/>
      </w:tcPr>
    </w:tblStylePr>
  </w:style>
  <w:style w:type="table" w:customStyle="1" w:styleId="MediumShading2-Accent5">
    <w:name w:val="MediumShading2-Accent5"/>
    <w:basedOn w:val="a1"/>
    <w:qFormat/>
    <w:rsid w:val="005271AF"/>
    <w:rPr>
      <w:sz w:val="22"/>
      <w:szCs w:val="22"/>
    </w:rPr>
    <w:tblPr>
      <w:tblInd w:w="0" w:type="dxa"/>
      <w:tblBorders>
        <w:top w:val="single" w:sz="18" w:space="0" w:color="4F81BD" w:themeColor="accent1"/>
        <w:bottom w:val="single" w:sz="1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000000" w:fill="4BACC6" w:themeFill="accent5"/>
      </w:tcPr>
    </w:tblStylePr>
    <w:tblStylePr w:type="lastRow">
      <w:pPr>
        <w:jc w:val="both"/>
      </w:pPr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D4E0EF" w:themeFill="accent1" w:themeFillTint="3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000000" w:fill="D4E0EF" w:themeFill="accent1" w:themeFillTint="3E"/>
      </w:tcPr>
    </w:tblStylePr>
  </w:style>
  <w:style w:type="table" w:customStyle="1" w:styleId="LightList">
    <w:name w:val="LightList"/>
    <w:basedOn w:val="a1"/>
    <w:qFormat/>
    <w:rsid w:val="005271AF"/>
    <w:rPr>
      <w:sz w:val="22"/>
      <w:szCs w:val="22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pPr>
        <w:jc w:val="both"/>
      </w:pPr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top w:val="single" w:sz="8" w:space="0" w:color="D4E0EF" w:themeColor="accent1" w:themeTint="3E"/>
          <w:left w:val="single" w:sz="8" w:space="0" w:color="D4E0EF" w:themeColor="accent1" w:themeTint="3E"/>
          <w:bottom w:val="single" w:sz="8" w:space="0" w:color="D4E0EF" w:themeColor="accent1" w:themeTint="3E"/>
          <w:right w:val="single" w:sz="8" w:space="0" w:color="D4E0EF" w:themeColor="accent1" w:themeTint="3E"/>
        </w:tcBorders>
      </w:tcPr>
    </w:tblStylePr>
    <w:tblStylePr w:type="band1Horz">
      <w:tblPr/>
      <w:tcPr>
        <w:tcBorders>
          <w:top w:val="single" w:sz="8" w:space="0" w:color="D4E0EF" w:themeColor="accent1" w:themeTint="3E"/>
          <w:left w:val="single" w:sz="8" w:space="0" w:color="D4E0EF" w:themeColor="accent1" w:themeTint="3E"/>
          <w:bottom w:val="single" w:sz="8" w:space="0" w:color="D4E0EF" w:themeColor="accent1" w:themeTint="3E"/>
          <w:right w:val="single" w:sz="8" w:space="0" w:color="D4E0EF" w:themeColor="accent1" w:themeTint="3E"/>
        </w:tcBorders>
      </w:tcPr>
    </w:tblStylePr>
  </w:style>
  <w:style w:type="table" w:customStyle="1" w:styleId="LightList-Accent3">
    <w:name w:val="LightList-Accent3"/>
    <w:basedOn w:val="a1"/>
    <w:qFormat/>
    <w:rsid w:val="005271AF"/>
    <w:pPr>
      <w:jc w:val="both"/>
    </w:pPr>
    <w:rPr>
      <w:sz w:val="22"/>
      <w:szCs w:val="22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9BBB59" w:themeFill="accent3"/>
      </w:tcPr>
    </w:tblStylePr>
    <w:tblStylePr w:type="lastRow">
      <w:pPr>
        <w:jc w:val="both"/>
      </w:pPr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6" w:space="0" w:color="9BBB59" w:themeColor="accent3"/>
          <w:left w:val="single" w:sz="6" w:space="0" w:color="9BBB59" w:themeColor="accent3"/>
          <w:bottom w:val="single" w:sz="6" w:space="0" w:color="9BBB59" w:themeColor="accent3"/>
          <w:right w:val="single" w:sz="6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MediumList2-Accent1">
    <w:name w:val="MediumList2-Accent1"/>
    <w:basedOn w:val="a1"/>
    <w:qFormat/>
    <w:rsid w:val="005271AF"/>
    <w:pPr>
      <w:jc w:val="both"/>
    </w:pPr>
    <w:rPr>
      <w:color w:val="000000" w:themeColor="text1"/>
      <w:sz w:val="22"/>
      <w:szCs w:val="22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tblPr/>
      <w:tcPr>
        <w:tcBorders>
          <w:top w:val="single" w:sz="4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4F81BD" w:themeColor="accent1"/>
          <w:insideH w:val="nil"/>
          <w:insideV w:val="nil"/>
        </w:tcBorders>
        <w:shd w:val="clear" w:color="000000" w:fill="FFFFFF" w:themeFill="background1"/>
      </w:tcPr>
    </w:tblStylePr>
    <w:tblStylePr w:type="lastCol">
      <w:tblPr/>
      <w:tcPr>
        <w:tcBorders>
          <w:top w:val="nil"/>
          <w:left w:val="single" w:sz="4" w:space="0" w:color="4F81BD" w:themeColor="accent1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D4E0EF" w:themeFill="accent1" w:themeFillTint="3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000000" w:fill="D4E0EF" w:themeFill="accent1" w:themeFillTint="3E"/>
      </w:tcPr>
    </w:tblStylePr>
    <w:tblStylePr w:type="nwCell">
      <w:tblPr/>
      <w:tcPr>
        <w:shd w:val="clear" w:color="000000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10">
    <w:name w:val="不明显强调11"/>
    <w:qFormat/>
    <w:rsid w:val="005271AF"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111">
    <w:name w:val="明显强调11"/>
    <w:qFormat/>
    <w:rsid w:val="005271AF"/>
    <w:rPr>
      <w:i/>
      <w:color w:val="5B9BD5"/>
      <w:w w:val="100"/>
      <w:sz w:val="21"/>
      <w:szCs w:val="21"/>
      <w:shd w:val="clear" w:color="000000" w:fill="auto"/>
    </w:rPr>
  </w:style>
  <w:style w:type="character" w:customStyle="1" w:styleId="112">
    <w:name w:val="不明显参考11"/>
    <w:qFormat/>
    <w:rsid w:val="005271AF"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113">
    <w:name w:val="明显参考11"/>
    <w:qFormat/>
    <w:rsid w:val="005271AF"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114">
    <w:name w:val="书籍标题11"/>
    <w:qFormat/>
    <w:rsid w:val="005271AF"/>
    <w:rPr>
      <w:b/>
      <w:i/>
      <w:w w:val="100"/>
      <w:sz w:val="21"/>
      <w:szCs w:val="21"/>
      <w:shd w:val="clear" w:color="000000" w:fill="auto"/>
    </w:rPr>
  </w:style>
  <w:style w:type="paragraph" w:customStyle="1" w:styleId="TOC11">
    <w:name w:val="TOC 标题11"/>
    <w:unhideWhenUsed/>
    <w:qFormat/>
    <w:rsid w:val="005271AF"/>
    <w:rPr>
      <w:rFonts w:ascii="Calibri" w:eastAsia="Calibri" w:hAnsi="Calibri"/>
      <w:color w:val="2E74B5"/>
      <w:sz w:val="32"/>
      <w:szCs w:val="32"/>
    </w:rPr>
  </w:style>
  <w:style w:type="character" w:customStyle="1" w:styleId="Char1">
    <w:name w:val="页眉 Char"/>
    <w:basedOn w:val="a0"/>
    <w:link w:val="a5"/>
    <w:semiHidden/>
    <w:qFormat/>
    <w:rsid w:val="005271AF"/>
    <w:rPr>
      <w:w w:val="100"/>
      <w:sz w:val="18"/>
      <w:szCs w:val="18"/>
      <w:shd w:val="clear" w:color="000000" w:fill="auto"/>
    </w:rPr>
  </w:style>
  <w:style w:type="character" w:customStyle="1" w:styleId="Char0">
    <w:name w:val="页脚 Char"/>
    <w:basedOn w:val="a0"/>
    <w:link w:val="a4"/>
    <w:semiHidden/>
    <w:qFormat/>
    <w:rsid w:val="005271AF"/>
    <w:rPr>
      <w:w w:val="100"/>
      <w:sz w:val="18"/>
      <w:szCs w:val="18"/>
      <w:shd w:val="clear" w:color="000000" w:fill="auto"/>
    </w:rPr>
  </w:style>
  <w:style w:type="character" w:customStyle="1" w:styleId="Char">
    <w:name w:val="日期 Char"/>
    <w:basedOn w:val="a0"/>
    <w:link w:val="a3"/>
    <w:semiHidden/>
    <w:qFormat/>
    <w:rsid w:val="005271AF"/>
  </w:style>
  <w:style w:type="paragraph" w:styleId="af1">
    <w:name w:val="Balloon Text"/>
    <w:basedOn w:val="a"/>
    <w:link w:val="Char2"/>
    <w:uiPriority w:val="99"/>
    <w:semiHidden/>
    <w:unhideWhenUsed/>
    <w:rsid w:val="00BC1FCA"/>
    <w:rPr>
      <w:sz w:val="18"/>
      <w:szCs w:val="18"/>
    </w:rPr>
  </w:style>
  <w:style w:type="character" w:customStyle="1" w:styleId="Char2">
    <w:name w:val="批注框文本 Char"/>
    <w:basedOn w:val="a0"/>
    <w:link w:val="af1"/>
    <w:uiPriority w:val="99"/>
    <w:semiHidden/>
    <w:rsid w:val="00BC1FCA"/>
    <w:rPr>
      <w:rFonts w:ascii="Calibri" w:eastAsia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-well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-well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-well@163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2054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0C251B-FEB9-41DB-8726-B6BF64E8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330</Words>
  <Characters>1887</Characters>
  <Application>Microsoft Office Word</Application>
  <DocSecurity>0</DocSecurity>
  <Lines>15</Lines>
  <Paragraphs>4</Paragraphs>
  <ScaleCrop>false</ScaleCrop>
  <Company>SONY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10</cp:revision>
  <dcterms:created xsi:type="dcterms:W3CDTF">2020-10-13T08:52:00Z</dcterms:created>
  <dcterms:modified xsi:type="dcterms:W3CDTF">2020-10-19T05:13:00Z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