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黑体" w:hAnsi="黑体" w:eastAsia="黑体" w:cs="黑体"/>
          <w:sz w:val="32"/>
          <w:szCs w:val="32"/>
        </w:rPr>
      </w:pPr>
      <w:r>
        <w:rPr>
          <w:rFonts w:hint="eastAsia" w:ascii="黑体" w:hAnsi="黑体" w:eastAsia="黑体" w:cs="黑体"/>
          <w:sz w:val="32"/>
          <w:szCs w:val="32"/>
        </w:rPr>
        <w:t>附件1</w:t>
      </w:r>
    </w:p>
    <w:p>
      <w:pPr>
        <w:widowControl/>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2020年中国标准创新贡献奖标准项目奖</w:t>
      </w:r>
    </w:p>
    <w:p>
      <w:pPr>
        <w:widowControl/>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评审委员会建议名单</w:t>
      </w:r>
    </w:p>
    <w:p>
      <w:pPr>
        <w:widowControl/>
        <w:spacing w:line="520" w:lineRule="exact"/>
        <w:jc w:val="center"/>
        <w:rPr>
          <w:rFonts w:ascii="Times New Roman" w:hAnsi="Times New Roman" w:eastAsia="方正小标宋简体" w:cs="Times New Roman"/>
          <w:sz w:val="44"/>
          <w:szCs w:val="44"/>
        </w:rPr>
      </w:pPr>
    </w:p>
    <w:p>
      <w:pPr>
        <w:widowControl/>
        <w:numPr>
          <w:ilvl w:val="0"/>
          <w:numId w:val="1"/>
        </w:numPr>
        <w:spacing w:line="52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一等奖建议名单</w:t>
      </w:r>
    </w:p>
    <w:tbl>
      <w:tblPr>
        <w:tblStyle w:val="8"/>
        <w:tblW w:w="13906"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372"/>
        <w:gridCol w:w="1490"/>
        <w:gridCol w:w="3772"/>
        <w:gridCol w:w="4136"/>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72"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标准项目名称</w:t>
            </w:r>
          </w:p>
        </w:tc>
        <w:tc>
          <w:tcPr>
            <w:tcW w:w="1490"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推荐单位</w:t>
            </w:r>
          </w:p>
        </w:tc>
        <w:tc>
          <w:tcPr>
            <w:tcW w:w="3772"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涉及的标准</w:t>
            </w:r>
          </w:p>
        </w:tc>
        <w:tc>
          <w:tcPr>
            <w:tcW w:w="4136"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主要完成单位</w:t>
            </w:r>
          </w:p>
        </w:tc>
        <w:tc>
          <w:tcPr>
            <w:tcW w:w="1437"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pacing w:val="-20"/>
                <w:sz w:val="24"/>
                <w:szCs w:val="24"/>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34000—2016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中国造船质量标准</w:t>
            </w:r>
            <w:r>
              <w:rPr>
                <w:rFonts w:hint="eastAsia" w:ascii="Times New Roman" w:hAnsi="Times New Roman" w:eastAsia="仿宋_GB2312" w:cs="Times New Roman"/>
                <w:bCs/>
                <w:sz w:val="24"/>
                <w:szCs w:val="24"/>
              </w:rPr>
              <w:t>》</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工业和信息化部</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34000—2016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中国造船质量标准</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中国船舶工业综合技术经济研究院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沪东中华造船（集团）有限公司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大连船舶重工集团有限公司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江南造船（集团）有限责任公司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上海外高桥造船有限公司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上海船舶工艺研究所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中国船级社</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李强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夏勇峰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马玉龙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蔡乾亚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耿海平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王云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李天煜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刘芳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任康旭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姜波涛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王忠强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杨玉波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赵建国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刘伟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戴小虎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62820—1—1：2016《楼寓对讲系统 第1—1部分：系统要求—总则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等9项标准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公安部</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IEC 62820—1—1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2016《楼寓对讲系统 第1—1部分：系统要求—总则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IEC 62820—1—2</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2017《楼寓对讲系统 第1—2部分 系统要求—全数字（IP）楼寓对讲系统</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IEC 62820—2</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2017《楼寓对讲系统 第2部分：高安全楼寓对讲系统要求（ASBIS）</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IEC 62820—3—1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2017《楼寓对讲系统 第3—1部分：应用指南—总则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IEC 62820—3—2</w:t>
            </w:r>
            <w:r>
              <w:rPr>
                <w:rFonts w:hint="eastAsia" w:ascii="Times New Roman" w:hAnsi="Times New Roman" w:eastAsia="仿宋_GB2312" w:cs="Times New Roman"/>
                <w:bCs/>
                <w:sz w:val="24"/>
                <w:szCs w:val="24"/>
              </w:rPr>
              <w:t>:2018</w:t>
            </w:r>
            <w:r>
              <w:rPr>
                <w:rFonts w:ascii="Times New Roman" w:hAnsi="Times New Roman" w:eastAsia="仿宋_GB2312" w:cs="Times New Roman"/>
                <w:bCs/>
                <w:sz w:val="24"/>
                <w:szCs w:val="24"/>
              </w:rPr>
              <w:t>《楼寓对讲系统 第3—2部分：应用指南—高安全楼寓对讲系统（ASBIS）</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31070.1:2014《 楼寓对讲系统 第1部分：通用技术要求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GA/T 72—2005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楼寓对讲系统及电控防盗门通用技术要求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GA/T 678—2007《联网型可视对讲系统技术要求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GA 1210—2014《楼寓对讲系统安全技术要求</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公安部第三研究所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公安部第一研究所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厦门立林科技有限公司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深圳市视得安罗格朗电子有限公司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福建省冠林科技有限公司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厦门狄耐克电子科技有限公司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中山市奥敏电子有限公司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广州市安居宝科技有限公司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国家安全防范报警系统产品质量监督检验中心（上海）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国家安全防范报警系统产品质量监督检验中心（北京）</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戎玲</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陈朝武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施巨岭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汤光耀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张达勇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陈谧</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庄伟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仇锦滔</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何成明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解桂秋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张济国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陈平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姜鹤松</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陈旭黎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19740:2018《光学和光子学 光学材料和零部件 红外光学材料均匀性测试方法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等3项标准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国防科工局</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 19740:2018《光学和光子学 光学材料和零部件 红外光学材料均匀性测试方法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19741:2018《光学和光子学 光学材料和零部件 红外光学材料条纹度测试方法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ISO 19742:2018《光学和光子学 光学材料和零部件 红外光学材料杂质测试方法</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中国兵器工业标准化研究所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湖北新华光信息材料有限公司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昆明物理研究所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西安应用光学研究所</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麦绿波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胡向平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杨静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徐光以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木锐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王武昌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胡忠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薛经纬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郑元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史继芳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徐惠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刘播雨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杜颖</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唐雪琼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8925—2017《远程火箭炮完好性评定方法</w:t>
            </w:r>
            <w:r>
              <w:rPr>
                <w:rFonts w:hint="eastAsia" w:ascii="Times New Roman" w:hAnsi="Times New Roman" w:eastAsia="仿宋_GB2312" w:cs="Times New Roman"/>
                <w:bCs/>
                <w:sz w:val="24"/>
                <w:szCs w:val="24"/>
              </w:rPr>
              <w:t>》等5项标准</w:t>
            </w:r>
          </w:p>
        </w:tc>
        <w:tc>
          <w:tcPr>
            <w:tcW w:w="1490"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GJB8925—2017《远程火箭炮完好性评定方法</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 GJB8924—2017《自行火炮完好性评定方法</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 GJB8923—2017《牵引火炮完好性评定方法</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 GJB8993—2017《火箭炮完好性评定方法</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 GJB8992—2017《炮兵指挥信息系统完好性评定方法</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陆军炮兵防空兵学院</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1.张继春</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2.周建平</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3.田世英</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4.蔡宏图</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5.马鹏飞</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6.张鹏飞</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7.崔国亮</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8.魏闻博</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9.李明军</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10.张婷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
                <w:sz w:val="24"/>
                <w:szCs w:val="24"/>
              </w:rPr>
            </w:pPr>
          </w:p>
        </w:tc>
        <w:tc>
          <w:tcPr>
            <w:tcW w:w="2372" w:type="dxa"/>
            <w:shd w:val="clear" w:color="auto" w:fill="auto"/>
            <w:vAlign w:val="center"/>
          </w:tcPr>
          <w:p>
            <w:pPr>
              <w:adjustRightInd w:val="0"/>
              <w:snapToGrid w:val="0"/>
              <w:spacing w:line="26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GB/T18759.3</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 xml:space="preserve">2009 </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第3部分：总线接口与通信协议</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490" w:type="dxa"/>
            <w:shd w:val="clear" w:color="auto" w:fill="auto"/>
            <w:vAlign w:val="center"/>
          </w:tcPr>
          <w:p>
            <w:pPr>
              <w:adjustRightInd w:val="0"/>
              <w:snapToGrid w:val="0"/>
              <w:spacing w:line="2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中国机械工业联合会</w:t>
            </w:r>
          </w:p>
        </w:tc>
        <w:tc>
          <w:tcPr>
            <w:tcW w:w="3772" w:type="dxa"/>
            <w:shd w:val="clear" w:color="auto" w:fill="auto"/>
            <w:vAlign w:val="center"/>
          </w:tcPr>
          <w:p>
            <w:pPr>
              <w:adjustRightInd w:val="0"/>
              <w:snapToGrid w:val="0"/>
              <w:spacing w:line="2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18759.3—2009</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第3部分：总线接口与通信协议</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18759.4—2014</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第4部分：硬件平台</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18759.5—2016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第5部分：软件平台</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18759.6—2016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第6部分：网络接口与通信协议</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18759.7—2017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第7部分：通用技术条件</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18759.8—2017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机械电气设备 开放式数控系统 第8部分：试验与验收</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2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国家机床质量监督检验中心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中国科学院沈阳计算技术研究所有限公司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沈阳中科数控技术股份有限公司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北京凯恩帝数控技术有限责任公司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广州数控设备有限公司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科德数控股份有限公司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武汉华中数控股份有限公司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山东大学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北京航空航天大学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北京计算机技术及应用研究所</w:t>
            </w:r>
          </w:p>
        </w:tc>
        <w:tc>
          <w:tcPr>
            <w:tcW w:w="1437" w:type="dxa"/>
            <w:shd w:val="clear" w:color="auto" w:fill="auto"/>
            <w:vAlign w:val="center"/>
          </w:tcPr>
          <w:p>
            <w:pPr>
              <w:adjustRightInd w:val="0"/>
              <w:snapToGrid w:val="0"/>
              <w:spacing w:line="2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黄祖广</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于东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尹震宇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杨洪丽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胡毅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薛瑞娟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陈虎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胡天亮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杨堂勇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杜瑞芳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张承瑞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蒋峥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刘艳强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任清荣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王大伟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18668—1:2016《中医药—中药编码系统 第1 部分：中药编码规则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等9 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 18668—1：2016《中医药—中药编码系统—第1 部分：中药编码规则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18668—2:2017《中医药—中药编码系统—第2 部分：中药饮片的编码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ISO 18668—3:2017《中医药—中药编码系统—第3 部分：中药材的编码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ISO 18668—4:2017《中医药—中药编码系统—第4 部分：中药配方颗粒的编码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ISO 20333:2017《中医药—中药在供应链管理中的编码与表示</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ISO 20334:2018《中医药—中药方剂编码系统</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31774—2015《中药编码规则及编码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31773—2015《中药方剂编码规则及编码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GB/T 31775—2015《中药在供应链管理中的编码与表示</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深圳市卫生健康委员会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深圳市中医院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深圳市标准技术研究院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香港浸会大学中医药学院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深圳市罗湖区中医院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江西中医药大学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中国中药有限公司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上海市中医药研究院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深圳市人民医院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广东一方制药有限公司</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廖利平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吴培凯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吕爱平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徐美渠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曾庆明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兰青山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黎志文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徐甘霖</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易炳学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李顺民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孙勇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李海燕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原文鹏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30582—2014《基于风险的埋地钢质管道外损伤检验与评价</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等7项标准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中国特种设备检测研究院</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30582—2014《基于风险的埋地钢质管道外损伤检验与评价</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27512—2011《埋地钢质管道风险评估方法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34346—2017《基于风险的油气管道安全隐患分级导则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19285—2014《埋地钢质管道腐蚀防护工程检验</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27699—2011《钢质管道内检测技术规范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34349—2017《输气管道内腐蚀外检测方法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34350—2017《输油管道内腐蚀外检测方法</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中国特种设备检测研究院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中国石油大学（北京）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深圳市燃气集团有限公司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北京工业大学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中国石油西南油气田安全环保与技术监督研究院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中油管道检测技术有限责任公司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中国石油天然气集团公司长庆油田分公司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中国石化销售股份有限公司</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何仁洋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王俊强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刘三江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李育忠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帅健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韩非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王新华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高健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黄辉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李佩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李曙华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门建新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孙伟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Q/GDW 11547—2016</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统一潮流控制器工程设计导则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等10项标准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国家技术标准创新基地（智能电网）</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Q／GDW11547—2016《统一潮流控制器工程设计导则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Q／GDW11546—2016《统一潮流控制器工程可行性研究内容深度规定</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Q／GDW11548—2016《统一潮流控制器工程分系统调试规范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Q／GDW11549—2016《统一潮流控制器系统调试规范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Q／GDW11550—2016《统一潮流控制器电气装置施工及验收规范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Q／GDW11551—2016《统一潮流控制器用220kV油浸式串联变压器技术规范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Q／GDW11552—2016《统一潮流控制器一次设备监造规范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Q／GDW11553—2016《统一潮流控制器一次设备交接试验规程</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Q／GDW11554—2016《统一潮流控制器一次设备验收技术规范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Q／GDW11555—2016《统一潮流控制器一次设备检修试验规程</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国网江苏省电力公司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南京南瑞继保电气有限公司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中国能源建设集团江苏省电力设计院有限公司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中国电力科学研究院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西安西电变压器有限责任公司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国网北京经济技术研究院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国网华东分部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南京电力工程设计有限公司</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李群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刘建坤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林金娇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孔祥平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董云龙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谢珍建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潘磊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王粉芍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袁宇波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周志成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李妍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朱东升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高磊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18801—2015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空气净化器</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等8 项标准</w:t>
            </w:r>
          </w:p>
        </w:tc>
        <w:tc>
          <w:tcPr>
            <w:tcW w:w="149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国家技术标准创新基地（家用电器）</w:t>
            </w:r>
          </w:p>
        </w:tc>
        <w:tc>
          <w:tcPr>
            <w:tcW w:w="37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18801—2015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空气净化器</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 17988—2008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食具消毒柜安全和卫生要求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 21551.1—2008</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家用和类似用途电器的抗菌、除菌、净化功能通则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 21551.2—2010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抗菌材料的特殊要求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 21551.3—2010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空气净化器的特殊要求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 21551.4—2010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电冰箱的特殊要求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 21551.5—2010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洗衣机的特殊要求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 21551.6—2010</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家用和类似用途电器的抗菌、除菌、净化功能 空调器的特殊要求</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color w:val="C00000"/>
                <w:sz w:val="24"/>
                <w:szCs w:val="24"/>
              </w:rPr>
              <w:t>1. 中国家用电器研究院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海尔集团公司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中国疾病预防控制中心环境与健康相关产品安全所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美的集团股份有限公司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宁波方太厨具有限公司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广东康宝电器股份有限公司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北京亚都环保科技有限公司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上海市计量测试技术研究院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莱克电气股份有限公司</w:t>
            </w:r>
          </w:p>
        </w:tc>
        <w:tc>
          <w:tcPr>
            <w:tcW w:w="1437"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马德军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姚孝元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鲁建国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诸永定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朱焰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高保华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郑崇开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张晓</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时妍玲</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蔡星明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姜风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赵爽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沈浩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邱兆云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shd w:val="clear" w:color="auto" w:fill="auto"/>
            <w:vAlign w:val="center"/>
          </w:tcPr>
          <w:p>
            <w:pPr>
              <w:pStyle w:val="19"/>
              <w:numPr>
                <w:ilvl w:val="0"/>
                <w:numId w:val="2"/>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372"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20001.5—2017《标准编写规则 第5部分：规范标准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等7项标准</w:t>
            </w:r>
          </w:p>
        </w:tc>
        <w:tc>
          <w:tcPr>
            <w:tcW w:w="1490"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标准化原理与方法</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（SAC/TC286）</w:t>
            </w:r>
          </w:p>
        </w:tc>
        <w:tc>
          <w:tcPr>
            <w:tcW w:w="3772"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20001.5—2017《标准编写规则 第5部分：规范标准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20001.6—2017《标准编写规则 第6部分：规程标准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20001.7—2017《标准编写规则 第7部分：指南标准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20001.4—2015《标准编写规则 第4部分：试验方法标准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20001.3—2015《标准编写规则 第3部分：分类标准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20001.2—2015《标准编写规则 第2部分：符号标准</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20001.1—2001</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标准编写规则 第1部分：术语</w:t>
            </w:r>
            <w:r>
              <w:rPr>
                <w:rFonts w:hint="eastAsia" w:ascii="Times New Roman" w:hAnsi="Times New Roman" w:eastAsia="仿宋_GB2312" w:cs="Times New Roman"/>
                <w:bCs/>
                <w:sz w:val="24"/>
                <w:szCs w:val="24"/>
              </w:rPr>
              <w:t>》</w:t>
            </w:r>
          </w:p>
        </w:tc>
        <w:tc>
          <w:tcPr>
            <w:tcW w:w="4136"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机械科学研究总院集团有限公司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机械工业仪器仪表综合技术经济研究所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color w:val="C00000"/>
                <w:sz w:val="24"/>
                <w:szCs w:val="24"/>
              </w:rPr>
              <w:t>4. 中国家用电器研究院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color w:val="C00000"/>
                <w:sz w:val="24"/>
                <w:szCs w:val="24"/>
              </w:rPr>
              <w:t>5. 华测检测认证集团股份有限公司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邮政科学研究规划院</w:t>
            </w:r>
          </w:p>
        </w:tc>
        <w:tc>
          <w:tcPr>
            <w:tcW w:w="1437"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白殿一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杜晓燕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王益谊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于欣丽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逄征虎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刘慎斋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欧阳劲松</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李佳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强毅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张亮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张志云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马德军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陆锡林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肖玉敬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刘泽华</w:t>
            </w:r>
          </w:p>
        </w:tc>
      </w:tr>
    </w:tbl>
    <w:p>
      <w:pPr>
        <w:widowControl/>
        <w:jc w:val="left"/>
        <w:rPr>
          <w:rFonts w:ascii="楷体_GB2312" w:hAnsi="楷体_GB2312" w:eastAsia="楷体_GB2312" w:cs="楷体_GB2312"/>
          <w:sz w:val="32"/>
          <w:szCs w:val="32"/>
        </w:rPr>
      </w:pPr>
      <w:r>
        <w:rPr>
          <w:rFonts w:ascii="楷体_GB2312" w:hAnsi="楷体_GB2312" w:eastAsia="楷体_GB2312" w:cs="楷体_GB2312"/>
          <w:sz w:val="32"/>
          <w:szCs w:val="32"/>
        </w:rPr>
        <w:br w:type="page"/>
      </w:r>
    </w:p>
    <w:p>
      <w:pPr>
        <w:widowControl/>
        <w:numPr>
          <w:ilvl w:val="0"/>
          <w:numId w:val="1"/>
        </w:numPr>
        <w:spacing w:line="594"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二等奖建议名单</w:t>
      </w:r>
    </w:p>
    <w:tbl>
      <w:tblPr>
        <w:tblStyle w:val="8"/>
        <w:tblW w:w="13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268"/>
        <w:gridCol w:w="1559"/>
        <w:gridCol w:w="3827"/>
        <w:gridCol w:w="411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268"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标准项目名称</w:t>
            </w:r>
          </w:p>
        </w:tc>
        <w:tc>
          <w:tcPr>
            <w:tcW w:w="1559"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推荐单位</w:t>
            </w:r>
          </w:p>
        </w:tc>
        <w:tc>
          <w:tcPr>
            <w:tcW w:w="3827" w:type="dxa"/>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涉及的标准</w:t>
            </w:r>
          </w:p>
        </w:tc>
        <w:tc>
          <w:tcPr>
            <w:tcW w:w="4111"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主要完成单位</w:t>
            </w:r>
          </w:p>
        </w:tc>
        <w:tc>
          <w:tcPr>
            <w:tcW w:w="1418"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pacing w:val="-20"/>
                <w:sz w:val="24"/>
                <w:szCs w:val="24"/>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28588—2012《全球导航卫星系统连续运行基准站网技术规范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自然资源部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28588—2012《全球导航卫星系统连续运行基准站网技术规范》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CH/T 2011—2012《全球导航卫星系统连续运行基准站网运行维护技术规范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国家基础地理信息中心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江苏省测绘工程院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国家卫星定位系统工程技术研究中心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天津市测绘院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湖南省测绘科技研究所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广东省国土资源测绘院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武军郦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陈明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宋玉兵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刘晖</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李志才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张鹏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张志全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尹昊华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孙占义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刘文建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51232—2016《装配式钢结构建筑技术标准</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住房城乡建设部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51232—2016《装配式钢结构建筑技术标准</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中国建筑标准设计研究院有限公司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浙江东南网架股份有限公司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住房和城乡建设部标准定额研究所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宝钢建筑系统集成有限公司（上海宝钢建筑工程设计有限工程）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浙江大学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浙江绿筑集成科技有限公司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清华大学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郁银泉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刘东卫</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w:t>
            </w:r>
            <w:r>
              <w:rPr>
                <w:rFonts w:ascii="Times New Roman" w:hAnsi="Times New Roman" w:eastAsia="微软雅黑" w:cs="Times New Roman"/>
                <w:bCs/>
                <w:sz w:val="24"/>
                <w:szCs w:val="24"/>
              </w:rPr>
              <w:t>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周观根</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姚涛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周祥茵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孙绪东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朱茜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童根树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王琼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SL 258—2017《水库大坝安全评价导则</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水利部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SL 258—2017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水库大坝安全评价导则</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南京水利科学研究院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水利部大坝安全管理中心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河海大学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盛金保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彭雪辉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王昭升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向衍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邹鹰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骆少泽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顾培英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龙智飞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周克发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T/CNS 3—2018《核电厂金属材料高温高压水中划伤再钝化试验方法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等4项标准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中科院</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T/CNS 3—2018《核电厂金属材料高温高压水中划伤再钝化试验方法》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T/CNS 5—2018《核电厂金属材料高温高压水中应力腐蚀裂纹扩展试验方法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T/CNS 4—2018《核电厂金属材料高温高压水中腐蚀疲劳试验方法》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T/CNS 6—2018《核电厂金属材料高温高压水中电化学试验方法</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中国科学院金属研究所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 xml:space="preserve">2. </w:t>
            </w:r>
            <w:r>
              <w:rPr>
                <w:rFonts w:ascii="Times New Roman" w:hAnsi="Times New Roman" w:eastAsia="仿宋_GB2312" w:cs="Times New Roman"/>
                <w:bCs/>
                <w:color w:val="C00000"/>
                <w:sz w:val="24"/>
                <w:szCs w:val="24"/>
              </w:rPr>
              <w:t>核工业标准化研究所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中国核动力研究设计院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上海交通大学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国家电投集团科学技术研究院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上海核工程研究设计院有限公司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中国原子能科学研究院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韩恩厚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张志明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谭季波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王俭秋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吴欣强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王家贞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郦晓慧</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张宏伟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姜峨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李毅丰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29490—2013企业知识产权管理规范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等3项标准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知识产权局</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29490—2013《企业知识产权管理规范》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33250—2016《科研组织知识产权管理规范》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33251—2016《高等学校知识产权管理规范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国家知识产权局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中国科学院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教育部</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贺化</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马维野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雷筱云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严庆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岳高峰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周静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唐恒</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刘海波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8271.1—8—2015</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陆基巡航导弹武器系统性能评定方法 第1部分：射程</w:t>
            </w:r>
            <w:r>
              <w:rPr>
                <w:rFonts w:hint="eastAsia" w:ascii="Times New Roman" w:hAnsi="Times New Roman" w:eastAsia="仿宋_GB2312" w:cs="Times New Roman"/>
                <w:bCs/>
                <w:sz w:val="24"/>
                <w:szCs w:val="24"/>
              </w:rPr>
              <w:t>》等8项</w:t>
            </w:r>
            <w:r>
              <w:rPr>
                <w:rFonts w:ascii="Times New Roman" w:hAnsi="Times New Roman" w:eastAsia="仿宋_GB2312" w:cs="Times New Roman"/>
                <w:bCs/>
                <w:sz w:val="24"/>
                <w:szCs w:val="24"/>
              </w:rPr>
              <w:t>标准</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1.GJB 8271.1—2015《陆基巡航导弹武器系统性能评定方法 第1部分：射程</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2.GJB 8271.2—2015《陆基巡航导弹武器系统性能评定方法 第2部分：命中精度</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3.GJB 8271.3—2015《陆基巡航导弹武器系统性能评定方法 第3部分：飞行高度</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4.GJB 8271.3—2015《陆基巡航导弹武器系统性能评定方法 第4部分：飞行速度</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5.GJB 8271.5—2015《陆基巡航导弹武器系统性能评定方法 第5部分：飞行机动性</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6.GJB 8271.6—2015《陆基巡航导弹武器系统性能评定方法 第6部分：惯性导弹精度与稳定性</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7.GJB 8271.7—2015《陆基巡航导弹武器系统性能评定方法 第7部分：地形匹配性能</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8.GJB 8271.8—2015《陆基巡航导弹武器系统性能评定方法 第8部分：景象匹配性能</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1.火箭军研究院系统工程研究所</w:t>
            </w:r>
          </w:p>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2.火箭军研究院导弹工程研究所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1.邹细刚</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2.阮永梅</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3.齐少军</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4.姚娅媚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GJB 8896—2017《地球表面空间网格与编码</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8896—2017《地球表面空间网格与编码</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1.中国航空综合技术研究所</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2.北京大学</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3.中国人民解放军31011部队</w:t>
            </w:r>
          </w:p>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4.战略支援部队信息工程大学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1.程承旗</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2.潘华</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3.王嵘</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4.陈波</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5.童晓冲</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6.杨文宏</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7.程芳</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8.周可嘉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62849:2016《家用移动机器人性能评估方法</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中国轻工业联合会</w:t>
            </w:r>
          </w:p>
        </w:tc>
        <w:tc>
          <w:tcPr>
            <w:tcW w:w="3827" w:type="dxa"/>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62849:2016《家用移动机器人性能评估方法</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color w:val="C00000"/>
                <w:sz w:val="24"/>
                <w:szCs w:val="24"/>
              </w:rPr>
              <w:t>1. 中国家用电器研究院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科沃斯机器人股份有限公司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苏州苏相机器人智能装备有限公司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苏州傲特敏机器人技术服务有限公司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浙江大学（之江实验室）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重庆邮电大学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深圳市银星智能科技股份有限公司</w:t>
            </w:r>
          </w:p>
        </w:tc>
        <w:tc>
          <w:tcPr>
            <w:tcW w:w="1418" w:type="dxa"/>
            <w:shd w:val="clear" w:color="auto" w:fill="auto"/>
            <w:vAlign w:val="center"/>
          </w:tcPr>
          <w:p>
            <w:pPr>
              <w:adjustRightInd w:val="0"/>
              <w:snapToGrid w:val="0"/>
              <w:spacing w:line="3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马德军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瞿卫新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周唯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孙立宁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朱世强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张毅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吴蒙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唐又红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张国栋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高翔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60404—13—2018《 磁性材料 第13部分：电工钢片（带）的密度、电阻率和叠装系数的测量方法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等19项标准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中国钢铁工业协会</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IEC 60404—13— 2018《磁性材料 第13部分：电工钢片(带)的密度、电阻率和叠装系数的测量方法》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GB/T2521.1—2016《全工艺冷轧电工钢 第1部分：晶粒无取向钢带（片）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GB/T2521.2—2016《全工艺冷轧电工钢 第2部分：晶粒取向钢带（片）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25046—2010《高磁感冷轧无取向电工钢带(片)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3655—2008《用爱泼斯坦方圈测量电工钢片（带）磁性能的方法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13789—2008《单片电工钢片(带)磁性能测量方法》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13012—2008《软磁材料直流磁性能的测量方法》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3656—2008《软磁材料矫顽力的开磁路抛移测量方法》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GB/T 3658—2008《软磁材料交流磁性能环形试样的测量方法》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GB/T 2522—2017《电工钢带（片）表面绝缘电阻、涂层附着性测试方法》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GB/T 34190—2017《电工钢表面涂层的重量（厚度）x 射线光谱测试方法》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YB/T 4518—2016《500KV及以上变压器用冷轧取向电工钢带》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YB/T 4517—2016《700MW及以上级大型电机用冷轧无取向电工钢带》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YB/T 5224—2014《中频用电工钢薄带》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YB/T 4292—2012《电工钢带片几何特性测试方法》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16. Q/BQB 480—2018《全工艺冷轧无取向电工钢带》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17. Q/BQB 481—2018《全工艺冷轧中频无取向电工钢带》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18. Q/BQB 485—2018《全工艺冷轧取向电工钢带》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19. Q/BQB 486—2018《特高压(含直流换流型)变压器用冷轧取向 电工钢带</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宝山钢铁股份有限公司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冶金工业信息标准研究院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北京首钢股份有限公司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黄望芽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胡守天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周星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陈晓</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郭小龙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沈杰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龚坚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张维旭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侯捷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胡聆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32353—2015《电力系统实时动态监测系统数据接口规范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等14项标准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中国电力企业联合会</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32353—2015《电力系统实时动态监测系统数据接口规范》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28815—2012《电力系统实时动态监测主站技术规范》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26865.2—2011《电力系统实时动态监测系统 第2部分：数据传输协议》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26862—2011《电力系统同步相量测量装置检测规范》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DL/T 1311—2013《电力系统实时动态监测主站应用要求及验收细则》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DL/T 280—2012《电力系统同步相量测量装置通用技术条件》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26866—2011《电力系统的时间同步系统检测规范》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DL/T 1405.1—2015《智能变电站的同步相量测量装置 第1部分 通信接口规范》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DL/T 1402—2015《厂站端同步相量应用技术规范》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DL/T 1100.2—2013《电力系统的时间同步系统 第2部分：基于局域网的精确时间同步》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Q/GDW 1844—2012《智能变电站的同步相量测量装置技术规范》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Q/GDW 1919—2013《基于数字同步网频率信号的时间同步系统技术规范》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Q/GDW 11202.5—2014《智能变电站自动化设备检测规范 第5 部分：时间同步系统</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国电南瑞科技股份有限公司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中国电力工程顾问集团华北电力设计院有限公司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中国电力科学研究院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国家电网有限公司国家电力调度控制中心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北京四方继保自动化股份有限公司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华北电力大学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中国科学院国家授时中心</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于跃海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张道农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毕天姝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许勇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陆进军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黄鑫</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王永福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时伯年</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19699—1:2017《吸收血液用聚丙烯酸钠高吸收性树脂 第1部分：测试方法</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山东省市场监管局</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ISO19699—1(E):2017《吸收血液用聚丙烯酸钠盐高吸收性树脂 第1部分：测试方法》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ISO19699—2(E):2017吸收血液用聚丙烯酸钠盐高吸收性树脂 第2部分：规范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山东昊月新材料股份有限公司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北京工商大学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华东理工大学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杨志亮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孙辉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付强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姚美芹</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周晓东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马晓鸥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朱翔华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黄志刚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韩丹丹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27421—2015《移动式实验室生物安全要求</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中国认证认可协会</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27421—2015《移动式实验室 生物安全要求</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中国合格评定国家认可中心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中国人民解放军军事科学院军事医学研究院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天津国家生物防护装备工程技术研究中心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中国疾病预防控制中心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中国农业科学院哈尔滨兽医研究所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中国动物疫病预防控制中心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中科院上海药物研究所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吕京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祁建城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赵四清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卢金星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吴东来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王荣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钱军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陆兵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周永运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李文京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34139—2017《柔性直流输电换流器技术规范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国家技术标准创新基地（广州）</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34139—2017《柔性直流输电换流器技术规范》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Q/CSG 1203043—2017《柔性直流输电换流器技术规范》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T/CSEE/Z 0064—2017《直流配电网用直流控制与保护设备技术要求》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T/CSEE/Z 0065—2017《直流配电网用直流控制与保护设备试验规程》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Q/CSG 1203041—2017《柔性直流输电系统控制保护系统（含多端控制保护）技术规范》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Q/CSG 11514—2010《±800kV直流阀厅设计技术规程</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南方电网科学研究院有限责任公司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中国南方电网有限责任公司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西安高压电器研究院有限责任公司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清华大学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许继电气股份有限公司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西安西电电力系统有限公司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北京四方继保自动化股份有限公司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饶宏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黎小林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许树楷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朱</w:t>
            </w:r>
            <w:r>
              <w:rPr>
                <w:rFonts w:ascii="Times New Roman" w:hAnsi="Times New Roman" w:eastAsia="微软雅黑" w:cs="Times New Roman"/>
                <w:bCs/>
                <w:sz w:val="24"/>
                <w:szCs w:val="24"/>
              </w:rPr>
              <w:t>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黄莹</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胡治龙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李巍巍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袁志昌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郝俊芳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33190—2016《电子文件存储与交换格式版式文档</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等9项标准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信息技术</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（SAC/TC28）</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33190—2016《电子文件存储与交换格式 版式文档》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33476.1—2016《党政机关电子公文格式规范 第1部分：公文结构》</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33476.2—2016《党政机关电子公文格式规范 第2部分：显现》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33476.3—2016《党政机关电子公文格式规范 第3部分：实施指南》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33478—2016《党政机关电子公文应用接口规范》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33479—2016《党政机关电子公文交换接口规范》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33481—2016《党政机关电子印章应用规范》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33482—2016《党政机关电子公文系统建设规范》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GB/T 33483—2016《党政机关电子公文系统运行维护规范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color w:val="C00000"/>
                <w:sz w:val="24"/>
                <w:szCs w:val="24"/>
              </w:rPr>
              <w:t>1. 中国电子技术标准化研究院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中办信息中心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福建福昕软件开发股份有限公司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北京数科网维技术有限责任公司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北京方正阿帕比技术有限公司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北京书生电子技术有限公司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北京电子科技学院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高林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李海波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陈亚军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苗宗利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高鹏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方春燕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周平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董建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王雷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26533—2011《俄歇电子能谱分析方法通则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等8项标准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全国微束分析标准化技术委员会（SAC/TC 38）</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26533—2011《俄歇电子能谱分析方法通则》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29731—2013《表面化学分析 高分辨俄歇电子能谱仪 元素和化学态分析用能量标校准》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29732—2013《表面化学分析 中等分辨率俄歇电子谱仪 元素分析用能量标校准》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29557—2013《表面化学分析 深度剖析 溅射深度测量》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28894—2012《表面化学分析 分析前样品的处理》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19500—2004</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X—射线光电子能谱分析方法通则》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25184—2010《X射线光电子能谱仪检定方法》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25188—2010《硅晶片表面超薄氧化硅层厚度的测量 X射线光电子能谱法</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清华大学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厦门大学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中国科学院化学研究所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中国计量科学研究院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中山大学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姚文清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李展平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吴正龙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陈建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岑丹霞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赵志娟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时海燕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谢方艳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刘芬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34890—2017《产品几何技术规范（GPS）数字摄影三坐标测量系统的验收检测和复检检测</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产品几何技术规范</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（SAC/TC240）</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1.GB/T 34890—2017《产品几何技术规范（GPS）数字摄影三坐标测量系统的验收和复检检测》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2.GB/T34634—2017《产品几何技术规范（GPS）光滑工件尺寸（500mm—10000mm）测量计量器具选择</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国家重大技术装备几何量计量站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中机生产力促进中心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二重（德阳）重型装备有限公司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郑州辰维科技股份有限公司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郑州大学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段玲</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李亚男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明翠新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史苏存</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黄桂平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张琳娜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石小兵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王伟峰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邓水平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余苏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34019—2017《超高压容器</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全国锅炉压力容器标准化技术委员会（SAC/TC262）</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34019—2017《超高压容器</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中国特种设备检测研究院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浙江大学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内蒙古北方重工业集团有限公司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河南中原特钢装备制造有限公司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浙江省特种设备科学研究院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江苏省特种设备安全监督检验研究院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中国石化工程建设有限公司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寿比南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郑津洋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陈志伟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杨国义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许锐冰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郭伟灿</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范志霞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李隆骏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李涛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马歆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28618—2012《机械产品再制造通用技术要求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绿色制造技术</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（SAC/TC337）</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28618—2012《机械产品再制造通用技术要求》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28619—2012《再制造 术语》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28620—2012《再制造率的计算方法》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31207—2014《机械产品再制造质量管理要求》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32811—2016《机械产品再制造性评价技术规范》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33221—2016《再制造 企业技术规范</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中机生产力促进中心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中国人民解放军陆军装甲兵学院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合肥工业大学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上海出入境检验检疫局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周新远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邱城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于鹤龙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刘渤海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奚道云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姚巨坤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孙婷婷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郑汉东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吴益文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史佩京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20729:2017《天然气 — 硫化合物测定 — 用紫外荧光光度法测定总硫含量</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石油天然气</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（SAC/TC355）</w:t>
            </w:r>
          </w:p>
        </w:tc>
        <w:tc>
          <w:tcPr>
            <w:tcW w:w="3827" w:type="dxa"/>
            <w:vAlign w:val="center"/>
          </w:tcPr>
          <w:p>
            <w:pPr>
              <w:adjustRightInd w:val="0"/>
              <w:snapToGrid w:val="0"/>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bCs/>
                <w:sz w:val="24"/>
                <w:szCs w:val="24"/>
              </w:rPr>
              <w:t>1. ISO 20729:2017《天然气 — 硫化合物测定 — 用紫外荧光光度法测定总硫含量》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16960:2014《天然气 — 硫化合物测定 — 用氧化微库仑法测定总硫含量</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中国石油天然气股份有限公司西南油气田分公司天然气研究院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中国石油天然气股份有限公司西南油气田分公司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中国石油天然气集团有限公司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中国石油化工股份有限公司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中国海洋石油集团有限公司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中国测试技术研究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中国计量科学研究院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周理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罗勤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常宏岗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乐宏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陈效红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李广月</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夏芳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李晓红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沈琳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丁思家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shd w:val="clear" w:color="auto" w:fill="auto"/>
            <w:vAlign w:val="center"/>
          </w:tcPr>
          <w:p>
            <w:pPr>
              <w:pStyle w:val="19"/>
              <w:numPr>
                <w:ilvl w:val="0"/>
                <w:numId w:val="3"/>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26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25502—2017《坐便器水效限定值及水效等级</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节水</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（SAC/TC442）</w:t>
            </w:r>
          </w:p>
        </w:tc>
        <w:tc>
          <w:tcPr>
            <w:tcW w:w="3827"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GB25502—2017《坐便器水效限定值及水效等级</w:t>
            </w:r>
            <w:r>
              <w:rPr>
                <w:rFonts w:hint="eastAsia" w:ascii="Times New Roman" w:hAnsi="Times New Roman" w:eastAsia="仿宋_GB2312" w:cs="Times New Roman"/>
                <w:bCs/>
                <w:sz w:val="24"/>
                <w:szCs w:val="24"/>
              </w:rPr>
              <w:t>》</w:t>
            </w:r>
          </w:p>
        </w:tc>
        <w:tc>
          <w:tcPr>
            <w:tcW w:w="4111"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安徽省产品质量监督检验研究院</w:t>
            </w:r>
            <w:r>
              <w:rPr>
                <w:rFonts w:ascii="Times New Roman" w:hAnsi="Times New Roman" w:eastAsia="仿宋_GB2312" w:cs="Times New Roman"/>
                <w:bCs/>
                <w:sz w:val="24"/>
                <w:szCs w:val="24"/>
              </w:rPr>
              <w:br w:type="textWrapping"/>
            </w:r>
            <w:bookmarkStart w:id="1" w:name="_GoBack"/>
            <w:r>
              <w:rPr>
                <w:rFonts w:ascii="Times New Roman" w:hAnsi="Times New Roman" w:eastAsia="仿宋_GB2312" w:cs="Times New Roman"/>
                <w:bCs/>
                <w:color w:val="C00000"/>
                <w:sz w:val="24"/>
                <w:szCs w:val="24"/>
              </w:rPr>
              <w:t>3. 中国建材检验认证集团（陕西）有限公司</w:t>
            </w:r>
            <w:bookmarkEnd w:id="1"/>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九牧厨卫股份有限公司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惠达卫浴股份有限公司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路达（厦门）工业有限公司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佛山市顺德区乐华陶瓷洁具有限公司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朱春雁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白雪</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朱双四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王玉洁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商蓓</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林孝发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王彦庆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许传凯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严邦平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程晓敏</w:t>
            </w:r>
          </w:p>
        </w:tc>
      </w:tr>
    </w:tbl>
    <w:p>
      <w:pPr>
        <w:widowControl/>
        <w:spacing w:line="594" w:lineRule="exact"/>
        <w:jc w:val="left"/>
        <w:rPr>
          <w:rFonts w:ascii="楷体_GB2312" w:hAnsi="楷体_GB2312" w:eastAsia="楷体_GB2312" w:cs="楷体_GB2312"/>
          <w:sz w:val="32"/>
          <w:szCs w:val="32"/>
        </w:rPr>
      </w:pPr>
    </w:p>
    <w:p>
      <w:pPr>
        <w:widowControl/>
        <w:jc w:val="left"/>
        <w:rPr>
          <w:rFonts w:ascii="楷体_GB2312" w:hAnsi="楷体_GB2312" w:eastAsia="楷体_GB2312" w:cs="楷体_GB2312"/>
          <w:sz w:val="32"/>
          <w:szCs w:val="32"/>
        </w:rPr>
      </w:pPr>
      <w:r>
        <w:rPr>
          <w:rFonts w:ascii="楷体_GB2312" w:hAnsi="楷体_GB2312" w:eastAsia="楷体_GB2312" w:cs="楷体_GB2312"/>
          <w:sz w:val="32"/>
          <w:szCs w:val="32"/>
        </w:rPr>
        <w:br w:type="page"/>
      </w:r>
    </w:p>
    <w:p>
      <w:pPr>
        <w:widowControl/>
        <w:numPr>
          <w:ilvl w:val="0"/>
          <w:numId w:val="1"/>
        </w:numPr>
        <w:spacing w:line="594"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三等奖建议名单</w:t>
      </w:r>
    </w:p>
    <w:tbl>
      <w:tblPr>
        <w:tblStyle w:val="8"/>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1559"/>
        <w:gridCol w:w="3828"/>
        <w:gridCol w:w="411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bookmarkStart w:id="0" w:name="_Hlk50318346"/>
            <w:r>
              <w:rPr>
                <w:rFonts w:ascii="Times New Roman" w:hAnsi="Times New Roman" w:eastAsia="仿宋_GB2312" w:cs="Times New Roman"/>
                <w:b/>
                <w:sz w:val="24"/>
                <w:szCs w:val="24"/>
              </w:rPr>
              <w:t>序号</w:t>
            </w:r>
          </w:p>
        </w:tc>
        <w:tc>
          <w:tcPr>
            <w:tcW w:w="2126"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标准项目名称</w:t>
            </w:r>
          </w:p>
        </w:tc>
        <w:tc>
          <w:tcPr>
            <w:tcW w:w="1559"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推荐单位</w:t>
            </w:r>
          </w:p>
        </w:tc>
        <w:tc>
          <w:tcPr>
            <w:tcW w:w="3828" w:type="dxa"/>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涉及的标准</w:t>
            </w:r>
          </w:p>
        </w:tc>
        <w:tc>
          <w:tcPr>
            <w:tcW w:w="4110"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主要完成单位</w:t>
            </w:r>
          </w:p>
        </w:tc>
        <w:tc>
          <w:tcPr>
            <w:tcW w:w="1418" w:type="dxa"/>
            <w:shd w:val="clear" w:color="auto" w:fill="auto"/>
            <w:vAlign w:val="center"/>
          </w:tcPr>
          <w:p>
            <w:pPr>
              <w:adjustRightInd w:val="0"/>
              <w:snapToGrid w:val="0"/>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pacing w:val="-20"/>
                <w:sz w:val="24"/>
                <w:szCs w:val="24"/>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29858—2013分子光谱多元校正定量分析通则</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科技部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29858—2013《分子光谱多元校正定量分析通则</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北京化工大学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中国石油石油化工研究院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中国农业大学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中国食品药品检定研究院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北京市农林科学院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宋春风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袁洪福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王艳斌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闵顺耕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王家俊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尹利辉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胡爱琴</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田高友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T/CHES 18—2018《农村饮水安全评价准则</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水利部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T/CHES 18—2018《农村饮水安全评价准则</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中国水利水电科学研究院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中国灌溉排水发展中心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山西省水利厅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吉林省水利厅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河南省水利厅</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邬晓梅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姚彬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赵翠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李润杰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贾燕南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徐佳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董长娟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宋卫坤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33469—2016《耕地质量等级</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农业农村部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33469—2016《耕地质量等级</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 农业农村部耕地质量监测保护中心</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谢建华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任意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郑磊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曾衍德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仲鹭</w:t>
            </w:r>
            <w:r>
              <w:rPr>
                <w:rFonts w:ascii="Times New Roman" w:hAnsi="Times New Roman" w:eastAsia="微软雅黑" w:cs="Times New Roman"/>
                <w:bCs/>
                <w:sz w:val="24"/>
                <w:szCs w:val="24"/>
              </w:rPr>
              <w:t>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薛彦东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陈明全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GB7956.1—2014《消防车第1 部分：通用技术条件</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应急</w:t>
            </w:r>
            <w:r>
              <w:rPr>
                <w:rFonts w:hint="eastAsia" w:ascii="Times New Roman" w:hAnsi="Times New Roman" w:eastAsia="仿宋_GB2312" w:cs="Times New Roman"/>
                <w:bCs/>
                <w:sz w:val="24"/>
                <w:szCs w:val="24"/>
                <w:lang w:eastAsia="zh-CN"/>
              </w:rPr>
              <w:t>管理</w:t>
            </w:r>
            <w:r>
              <w:rPr>
                <w:rFonts w:ascii="Times New Roman" w:hAnsi="Times New Roman" w:eastAsia="仿宋_GB2312" w:cs="Times New Roman"/>
                <w:bCs/>
                <w:sz w:val="24"/>
                <w:szCs w:val="24"/>
              </w:rPr>
              <w:t>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GB7956.1—2014《消防车 第1部分：通用技术条件》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GB7956.2—2014《消防车 第2部分：水罐消防车》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GB7956.3—2014《消防车 第3部分：泡沫消防车》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GB7956.6—2015《消防车 第6部分：压缩空气泡沫消防车》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GB7956.12—2015《消防车 第12部分：举高消防车》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GB7956.14—2015《消防车 第14部分：抢险救援消防车</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应急管理部上海消防研究所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蒋旭东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王长伟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朱义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朱</w:t>
            </w:r>
            <w:r>
              <w:rPr>
                <w:rFonts w:ascii="Times New Roman" w:hAnsi="Times New Roman" w:eastAsia="微软雅黑" w:cs="Times New Roman"/>
                <w:bCs/>
                <w:sz w:val="24"/>
                <w:szCs w:val="24"/>
              </w:rPr>
              <w:t>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田永祥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苏琳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王丽晶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沈坚敏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62976:2017《工业无损检测设备</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电子直线加速器</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国资委</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IEC 62976:2017《工业无损检测设备</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电子直线加速器</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中国原子能科学研究院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核工业标准化研究所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曾自强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余国龙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王国宝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何高魁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肖晨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杨溯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王楠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伍险峰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33959—2017《钢筋混凝土用不锈钢钢筋</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等5项标准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国资委</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33959—2017《钢筋混凝土用不锈钢钢筋》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33953—2017《钢筋混凝土用耐蚀钢筋》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31933—2015《模拟海洋环境钢筋耐蚀试验方法》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YB/T 4454—2015《评估海洋环境中混凝土结构钢筋锈蚀速率的对比试验方法》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YB/T 4369—2014《钢筋在混凝土中耐氯离子腐蚀性能测试方法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中冶建筑研究总院有限公司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冶金工业信息标准研究院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山西太钢不锈钢股份有限公司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钢铁研究总院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广西盛隆冶金有限公司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朱建国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侯捷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李晓滨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王辉绵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陈洁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杨忠民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柯雪利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TB/T 3487—2017《交流传动</w:t>
            </w:r>
            <w:r>
              <w:rPr>
                <w:rFonts w:hint="eastAsia" w:ascii="Times New Roman" w:hAnsi="Times New Roman" w:eastAsia="仿宋_GB2312" w:cs="Times New Roman"/>
                <w:bCs/>
                <w:sz w:val="24"/>
                <w:szCs w:val="24"/>
              </w:rPr>
              <w:t>电力</w:t>
            </w:r>
            <w:r>
              <w:rPr>
                <w:rFonts w:ascii="Times New Roman" w:hAnsi="Times New Roman" w:eastAsia="仿宋_GB2312" w:cs="Times New Roman"/>
                <w:bCs/>
                <w:sz w:val="24"/>
                <w:szCs w:val="24"/>
              </w:rPr>
              <w:t>机车</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铁路局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TB/T 3487—2017《交流传动电力机车》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TB/T 3488—2017《交流传动内燃机车</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中国铁道科学研究院集团有限公司机车车辆研究所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中车大连机车车辆有限公司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中车株洲电力机车有限公司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中车大同电力机车有限公司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中车戚墅堰机车有限公司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陆阳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李杰波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韩晓军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黄金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胡亮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张晓东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丁可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GM/T 0034—2014《基于SM2密码算法的证书认证系统密码及其相关安全技术规范</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密码局</w:t>
            </w:r>
          </w:p>
        </w:tc>
        <w:tc>
          <w:tcPr>
            <w:tcW w:w="3828" w:type="dxa"/>
            <w:vAlign w:val="center"/>
          </w:tcPr>
          <w:p>
            <w:pPr>
              <w:adjustRightInd w:val="0"/>
              <w:snapToGrid w:val="0"/>
              <w:spacing w:after="24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GM/T 0034—2014《基于SM2密码算法的证书认证系统密码及其相关安全技术规范</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after="24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上海市数字证书认证中心有限公司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上海格尔软件股份有限公司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北京数字认证股份有限公司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长春吉大正元信息技术股份有限公司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北京海泰方圆科技有限公司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刘平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崔久强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刘承</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谭武征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李述胜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赵丽丽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柳增寿</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GJB 843A—2017《潜艇核动力装置设计安全规定 第2部分：反应堆压力容器设计准则</w:t>
            </w:r>
            <w:r>
              <w:rPr>
                <w:rFonts w:hint="eastAsia" w:ascii="Times New Roman" w:hAnsi="Times New Roman" w:eastAsia="仿宋_GB2312" w:cs="Times New Roman"/>
                <w:bCs/>
                <w:sz w:val="24"/>
                <w:szCs w:val="24"/>
              </w:rPr>
              <w:t>》等5项标准</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8" w:type="dxa"/>
            <w:vAlign w:val="center"/>
          </w:tcPr>
          <w:p>
            <w:pPr>
              <w:snapToGrid w:val="0"/>
              <w:spacing w:beforeLines="2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1.GJB 843.2A—2017《潜艇核动力装置设计安全规定 第2部分：反应堆压力容器设计准则</w:t>
            </w:r>
            <w:r>
              <w:rPr>
                <w:rFonts w:hint="eastAsia" w:ascii="Times New Roman" w:hAnsi="Times New Roman" w:eastAsia="仿宋_GB2312" w:cs="Times New Roman"/>
                <w:bCs/>
                <w:sz w:val="24"/>
                <w:szCs w:val="24"/>
              </w:rPr>
              <w:t>》</w:t>
            </w:r>
          </w:p>
          <w:p>
            <w:pPr>
              <w:snapToGrid w:val="0"/>
              <w:spacing w:beforeLines="2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2.GJB 843.18A—2017《潜艇核动力装置设计安全规定 第18部分：压水型反应堆核设计准则</w:t>
            </w:r>
            <w:r>
              <w:rPr>
                <w:rFonts w:hint="eastAsia" w:ascii="Times New Roman" w:hAnsi="Times New Roman" w:eastAsia="仿宋_GB2312" w:cs="Times New Roman"/>
                <w:bCs/>
                <w:sz w:val="24"/>
                <w:szCs w:val="24"/>
              </w:rPr>
              <w:t>》</w:t>
            </w:r>
          </w:p>
          <w:p>
            <w:pPr>
              <w:snapToGrid w:val="0"/>
              <w:spacing w:beforeLines="2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3.GJB 843.24A—2017《潜艇核动力装置设计安全规定 第24部分：反应堆控制棒驱动机构设计准则</w:t>
            </w:r>
            <w:r>
              <w:rPr>
                <w:rFonts w:hint="eastAsia" w:ascii="Times New Roman" w:hAnsi="Times New Roman" w:eastAsia="仿宋_GB2312" w:cs="Times New Roman"/>
                <w:bCs/>
                <w:sz w:val="24"/>
                <w:szCs w:val="24"/>
              </w:rPr>
              <w:t>》</w:t>
            </w:r>
          </w:p>
          <w:p>
            <w:pPr>
              <w:snapToGrid w:val="0"/>
              <w:spacing w:beforeLines="20"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4.GJB 843.36A—2017《潜艇核动力装置设计安全规定 第36部分：补水系统设计要求</w:t>
            </w:r>
            <w:r>
              <w:rPr>
                <w:rFonts w:hint="eastAsia" w:ascii="Times New Roman" w:hAnsi="Times New Roman" w:eastAsia="仿宋_GB2312" w:cs="Times New Roman"/>
                <w:bCs/>
                <w:sz w:val="24"/>
                <w:szCs w:val="24"/>
              </w:rPr>
              <w:t>》</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5.GJB 843.37—2017《潜艇核动力装置设计安全规定 第37部分：净化系统设计要求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1.中国核动力研究设计院</w:t>
            </w:r>
          </w:p>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2.核工业标准化研究所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1.李毅</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2.王小彬</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3.陈长</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4.杨方亮</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5.黎春梅</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6.罗英</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7.于颖锐</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8.谢杨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 xml:space="preserve">GJB 7862—2012《基于组件的仿真框架通用要求 </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7862—2012《基于组件的仿真框架通用要求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中国人民解放军国防科技大学</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1.龚建兴</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2.黄健</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3.邱晓刚</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4.郝建国</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5.张柯</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6.鞠儒生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GJB 8899—2017《装备目标特性工作通用要求</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Cs/>
                <w:sz w:val="24"/>
                <w:szCs w:val="24"/>
                <w:lang w:eastAsia="zh-CN"/>
              </w:rPr>
              <w:t>中央军委装备发展部</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GJB 8899—2017《装备目标特性工作通用要求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1.中国航空综合技术研究所</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2.中国飞行试验研究院</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3.中国人民解放军32801部队</w:t>
            </w:r>
          </w:p>
          <w:p>
            <w:pPr>
              <w:adjustRightInd w:val="0"/>
              <w:snapToGrid w:val="0"/>
              <w:spacing w:line="300" w:lineRule="exact"/>
              <w:jc w:val="left"/>
              <w:rPr>
                <w:rFonts w:ascii="Times New Roman" w:hAnsi="Times New Roman" w:eastAsia="仿宋_GB2312" w:cs="Times New Roman"/>
                <w:b/>
                <w:sz w:val="24"/>
                <w:szCs w:val="24"/>
              </w:rPr>
            </w:pPr>
            <w:r>
              <w:rPr>
                <w:rFonts w:ascii="Times New Roman" w:hAnsi="Times New Roman" w:eastAsia="仿宋_GB2312" w:cs="Times New Roman"/>
                <w:bCs/>
                <w:sz w:val="24"/>
                <w:szCs w:val="24"/>
              </w:rPr>
              <w:t>4.中国航天科工集团第二研究院第二</w:t>
            </w:r>
            <w:r>
              <w:rPr>
                <w:rFonts w:ascii="Times New Roman" w:hAnsi="Times New Roman" w:eastAsia="微软雅黑" w:cs="Times New Roman"/>
                <w:bCs/>
                <w:sz w:val="24"/>
                <w:szCs w:val="24"/>
              </w:rPr>
              <w:t>〇</w:t>
            </w:r>
            <w:r>
              <w:rPr>
                <w:rFonts w:ascii="Times New Roman" w:hAnsi="Times New Roman" w:eastAsia="仿宋_GB2312" w:cs="Times New Roman"/>
                <w:bCs/>
                <w:sz w:val="24"/>
                <w:szCs w:val="24"/>
              </w:rPr>
              <w:t>七研究所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1.湛希</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2.林干</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3.蔡红豪</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4.孙辉</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5.岳永威</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6.吕永胜</w:t>
            </w:r>
          </w:p>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7.林刚</w:t>
            </w:r>
          </w:p>
          <w:p>
            <w:pPr>
              <w:adjustRightInd w:val="0"/>
              <w:snapToGrid w:val="0"/>
              <w:spacing w:line="300" w:lineRule="exact"/>
              <w:jc w:val="left"/>
              <w:rPr>
                <w:rFonts w:ascii="Times New Roman" w:hAnsi="Times New Roman" w:eastAsia="仿宋_GB2312" w:cs="Times New Roman"/>
                <w:b/>
                <w:spacing w:val="-20"/>
                <w:sz w:val="24"/>
                <w:szCs w:val="24"/>
              </w:rPr>
            </w:pPr>
            <w:r>
              <w:rPr>
                <w:rFonts w:ascii="Times New Roman" w:hAnsi="Times New Roman" w:eastAsia="仿宋_GB2312" w:cs="Times New Roman"/>
                <w:bCs/>
                <w:sz w:val="24"/>
                <w:szCs w:val="24"/>
              </w:rPr>
              <w:t>8.马勇辉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16220:2017《镁及镁合金 镁合金铸锭和铸件</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中国有色金属工业协会</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16220:2017《镁及镁合金</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镁合金铸锭和铸件</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有色金属技术经济研究院有限责任公司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上海交通大学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中国有色金属工业协会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山西银光华盛镁业股份有限公司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山东银光钰源轻金属精密成型有限公司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席欢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王迎新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赵永善</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黄雪娇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谷柳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刘涛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孙芯芯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34193—2017《高炉工序能效评估导则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等7项标准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中国钢铁工业协会</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34193—2017《高炉工序能效评估导则》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33973—2017《钢铁企业原料场能效评估导则》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34192—2017《焦化工序能效评估导则》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34195—2017《烧结工序能效评估导则》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34196—2017《链箅机</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回转窑球团工序能效评估导则》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34194—2017《转炉工序能效评估导则》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28924—2012《钢铁企业能效指数计算导则</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冶金工业信息标准研究院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中冶南方工程技术有限公司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中冶焦耐（大连）工程技术有限公司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中冶长天国际工程有限责任公司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王姜维</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徐海伦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王明登</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胡兵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仇金辉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牛润芝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邵远敬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赵辉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20780:2018《航天系统</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纤维光学器件</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设计与验证要求</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北京市市场监管局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20780:2018《航天系统</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纤维光学器件</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设计与验证要求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1.北京航天时代光电科技有限公司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单联洁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柳建春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张兵心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王燕林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丁东发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相艳荣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侯建国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34590.1—2017《道路车辆 功能安全 第1部分：术语</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等10项标准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天津市市场监管委</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34590.1—2017《道路车辆 功能安全 第1部分：术语》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34590.2—2017《道路车辆 功能安全 第2部分：功能安全管理》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34590.3—2017《道路车辆 功能安全 第3部分：概念阶段》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34590.4—2017《道路车辆 功能安全 第4部分：产品开发：系统层面》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34590.5—2017《道路车辆 功能安全 第5部分：产品开发：硬件层面》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34590.6—2017《道路车辆 功能安全 第6部分：产品开发：软件层面》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GB/T 34590.7—2017《道路车辆 功能安全 第7部分：生产和运行》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GB/T 34590.8—2017《道路车辆 功能安全 第8部分：支持过程》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GB/T 34590.9—2017《道路车辆 功能安全 第9部分：以汽车安全完整性等级为导向和以安全为导向的分析》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GB/T 34590.10—2017《道路车辆 功能安全 第10部分：指南</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中国汽车技术研究中心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泛亚汽车技术中心有限公司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联合汽车电子有限公司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舍弗勒投资（中国）有限公司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博世汽车部件（苏州）有限公司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李波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尚世亮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童菲</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杨虎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付越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明月</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薛剑波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曲元宁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30697—2014《星载大视场多光谱相机性能测试方法</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吉林省市场监管厅</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30697—2014《星载大视场多光谱相机性能测试方法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中国科学院长春光学精密机械与物理研究所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1.武星星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2.刘金国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3.贾平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4.吴国栋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5.韩诚山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6.万志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7.周怀得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19354:2016《船舶与海洋技术 船用起重机 一般要求</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上海市市场监管局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 19354:2016《船舶与海洋技术 船用起重机 一般要求》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19355:2016《船舶与海洋技术 船用起重机 结构要求》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ISO 19356:2016《船舶与海洋技术 船用起重机 试验规范和程序》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ISO 19357:2016《船舶与海洋技术 船用起重机 冰区环境的设计要求》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ISO 19360:2016《船舶与海洋技术 船用起重机 索具应用技术要求》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ISO 3078:2016《造船 起货绞车</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中国船舶重工集团公司第七</w:t>
            </w:r>
            <w:r>
              <w:rPr>
                <w:rFonts w:ascii="Times New Roman" w:hAnsi="Times New Roman" w:eastAsia="微软雅黑" w:cs="Times New Roman"/>
                <w:bCs/>
                <w:sz w:val="24"/>
                <w:szCs w:val="24"/>
              </w:rPr>
              <w:t>〇</w:t>
            </w:r>
            <w:r>
              <w:rPr>
                <w:rFonts w:ascii="Times New Roman" w:hAnsi="Times New Roman" w:eastAsia="仿宋_GB2312" w:cs="Times New Roman"/>
                <w:bCs/>
                <w:sz w:val="24"/>
                <w:szCs w:val="24"/>
              </w:rPr>
              <w:t>四研究所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武汉船用机械有限责任公司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南京中船绿洲机器有限公司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刘震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胡发国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陆慧</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童小川</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杨龙霞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胡茂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张晓群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叶凯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ITU—T X.1040—2017《电子商务数据生命周期管理安全参考架构</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ITU—T X.1040—2017</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电子商务数据生命周期管理安全参考架构</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阿里巴巴（中国）有限公司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中国电子技术标准化研究院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朱红儒</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胡影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李克鹏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白晓媛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孙旭东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贾雪飞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32000—2015《美丽乡村建设指南</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浙江省市场监管局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32000—2015《美丽乡村建设指南</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浙江省湖州市安吉县人民政府</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浙江省标准化研究院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福建省标准化研究院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农业部科技教育司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郑勤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应珊婷</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云振宇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闵杰峰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王彬彬</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华歆雨</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刘文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魏玉栋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32420—2015《无线局域网测试规范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等5项标准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山东省市场监管局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32420—2015《无线局域网测试规范》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18233—2008《信息技术 用户建筑群的通用布缆》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34961.2—2017《信息技术 用户建筑群布缆的实现和操作 第2部分：规划和安装》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34961.3—2017《信息技术 用户建筑群布缆的实现和操作 第3部分：光纤布缆测试》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29269—2012《信息技术 住宅通用布缆</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山东省计算中心（国家超级计算济南中心）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中国电子技术标准化研究院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中关村无线网络安全产业联盟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上海市计量测试技术研究院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山东华迪智能技术有限公司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周鸣乐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杨宏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李敏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董火民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廉云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赵向阳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冯正乾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34651—2017《全断面隧道掘进机 土压平衡盾构机</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河南省市场监管局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34651—2017《全断面隧道掘进机 土压平衡盾构机</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中铁工程装备集团有限公司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中铁隧道局集团有限公司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中铁一局集团城市轨道交通工程有限公司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石家庄铁道大学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北京建筑机械化研究院有限公司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李建斌</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李光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贾连辉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赵振威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康宝生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王江卡</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郭京波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刘双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T/CPASE MT002—2016《自动扶梯和自动人行道超速及非操纵逆转保护装置动作的外接变频驱动试验方法</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广东省市场监管局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T/CPASE MT002—2016《自动扶梯和自动人行道超速及非操纵逆转保护装置动作的外接变频驱动试验方法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广东省特种设备检测研究院珠海检测院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中国特种设备安全与节能促进会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国家电梯质量监督检验中心（广东）</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戚政武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陈英红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王为国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梁敏健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王长明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苏宇航</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佘昆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杨宁祥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ISO 20409—2017《中医药</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三七药材</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等13项标准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云南省市场监管局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ISO 20409:2017《中医药</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三七药材》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ISO 20408:2017《中医药</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三七种子种苗》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19086— 2008《地理标志产品</w:t>
            </w:r>
            <w:r>
              <w:rPr>
                <w:rFonts w:hint="eastAsia" w:ascii="仿宋_GB2312" w:hAnsi="Times New Roman" w:eastAsia="仿宋_GB2312" w:cs="Times New Roman"/>
                <w:bCs/>
                <w:sz w:val="24"/>
                <w:szCs w:val="24"/>
              </w:rPr>
              <w:t>—</w:t>
            </w:r>
            <w:r>
              <w:rPr>
                <w:rFonts w:ascii="Times New Roman" w:hAnsi="Times New Roman" w:eastAsia="仿宋_GB2312" w:cs="Times New Roman"/>
                <w:bCs/>
                <w:sz w:val="24"/>
                <w:szCs w:val="24"/>
              </w:rPr>
              <w:t>文山三七》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35038— 2018《中药材(三七)产业项目运营管理规范》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DB 53055.1—1999</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三七质量标准》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DB 53055.2—1999《三七种子质量标准》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DB 53055.3—1999《三七种苗质量标准》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DB 53055.5—1999《三七茎叶质量标准》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DB 53055.6—1999《生三七粉质量标准》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DB 53055.7—1999《三七切片质量标准》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DB/T53055.12—1999《三七初制品加工规程》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DB/T53055.13—1999《三七茎叶加工规程》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DB/T53055.14—1999《三七花加工规程</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昆明理工大学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文山学院（云南省文山州三七科学技术研究所）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中国中医科学院中药研究所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澳门科技大学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文山州三七和中医药产业发展中心（文山州生物资源开发和三七产业局）</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崔秀明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黄璐琦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刘良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胡旭佳</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熊吟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曲媛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周华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陈敏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31518.1—2015《直驱永磁风力发电机组 第1部分：技术条件》等2项标准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新疆维吾尔自治区市场监管局</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31518.1—2015《直驱永磁风力发电机组 第1部分：技术条件》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31518.2—2015《直驱永磁风力发电机组 第2部分：试验方法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新疆金风科技股份有限公司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北京金风科创风电设备有限公司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北京天诚同创电气有限公司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俞黎萍</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杨炯明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谢生清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甘旭超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张新丽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李会勋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乔元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王栋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28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 34457—2017《饲料添加剂 磷 酸三钙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等15项标准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饲料工业</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（SAC/TC76）</w:t>
            </w:r>
          </w:p>
        </w:tc>
        <w:tc>
          <w:tcPr>
            <w:tcW w:w="3828" w:type="dxa"/>
            <w:vAlign w:val="center"/>
          </w:tcPr>
          <w:p>
            <w:pPr>
              <w:adjustRightInd w:val="0"/>
              <w:snapToGrid w:val="0"/>
              <w:spacing w:line="28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 34457—2017《饲料添加剂 磷酸三钙》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 34460—2017《饲料添加剂 L—抗坏血酸钠》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 34461—2017《饲料添加剂 L—肉碱》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 34462—2017《饲料添加剂 氯化胆碱》</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 7298—2017《饲料添加剂 维生素B6（盐酸吡哆醇》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 7300—2017《饲料添加剂 烟酸》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GB 7301—2017《饲料添加剂 烟酰胺》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GB 34464—2017《饲料添加剂 二甲基嘧啶醇亚硫酸甲萘醌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GB 7293—2017《饲料添加剂 DL—α—生育酚乙酸酯（粉）》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GB 9454—2017《饲料添加剂 DL—α—生育酚乙酸酯》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GB 20802—2017《饲料添加剂 蛋氨酸铜络（鳌）合物 》</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GB 21694—2017《饲料添加剂 蛋氨酸锌络（螯）合物》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13. GB 32449—2015《饲料添加剂 硫酸镁》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14. GB 34468—2017《饲料添加剂 硫酸锰》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15. GB 34456—2017《饲料添加剂 磷酸二氢钠</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28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中国饲料工业协会</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上海市兽药饲料检测所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浙江省兽药饲料监察所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中国农业科学院北京畜牧兽医研究所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四川省饲料工作总站</w:t>
            </w:r>
          </w:p>
        </w:tc>
        <w:tc>
          <w:tcPr>
            <w:tcW w:w="1418" w:type="dxa"/>
            <w:shd w:val="clear" w:color="auto" w:fill="auto"/>
            <w:vAlign w:val="center"/>
          </w:tcPr>
          <w:p>
            <w:pPr>
              <w:adjustRightInd w:val="0"/>
              <w:snapToGrid w:val="0"/>
              <w:spacing w:line="28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王黎文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黄士新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吕林</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李云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张志健</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粟胜兰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曹莹</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丁健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32161—2015《生态设计产品评价通则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 xml:space="preserve"> 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环境管理</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（SAC/TC207）</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32161—2015《生态设计产品评价通则》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32162—2015《生态设计产品标识》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32163.1—2015《生态设计产品评价规范 第1部分：家用洗涤剂》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32163.2—2015《生态设计产品评价规范 第2部分：可降解塑料》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GB/T 32163.3—2015《生态设计产品评价规范 第3部分：杀虫剂》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GB/T 32163.4—2015《生态设计产品评价规范 第4部分：无机轻质板材</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中国标准化研究院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中国建筑科学研究院有限公司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中国轻工业清洁生产中心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北京工商大学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河南省科高植物天然产物开发工程技术有限公司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付允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高东峰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林翎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王秀腾</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靳玉娟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孙晓峰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李坤威</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曹力强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T/CEC 165.1—2018电供暖系统技术规范　第1部分：总则</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等12项标准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电磁兼容</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（SAC/TC246）</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T/CEC 165.1—2018《电供暖系统技术规范 第1部分： 总则》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T/CEC 165.2—2018《电供暖系统技术规范 第2部分： 设备》</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T/CEC 165.3—2018《电供暖系统技术规范 第3部分：系统设计》</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T/CEC 165.4—2018《电供暖系统技术规范 第4部分：施工和安装》</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T/CEC 165.5—2018《电供暖系统技术规范 第5部分：验收》</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T/CEC 165.6—2018《电供暖系统技术规范 第6部分：监控系统》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T/CEC 165.7—2018《电供暖系统技术规范 第7部分：运营服务平台》</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T/CEC 165.8—2018《电供暖系统技术规范 第8部分：通信规约》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9. T/CEC 165.9—2018《电供暖系统技术规范 第9部分：运行维护》</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10. T/CEC 165.10—2018《电供暖系统技术规范 第10部分：接口》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11. T/CEC 165.11—2018《电供暖系统技术规范 第11部分：计量》</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12. T/CEC 165.12—2018《电供暖系统技术规范 第12部分：检测</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中国电力科学研究院有限公司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国家电网有限公司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中国建筑科学研究院有限公司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同济大学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珠海格力电器股份有限公司</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钟鸣</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张兴华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郭炳庆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王鑫</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金璐</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成岭</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闫华光</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何胜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32918.1—2016《信息安全技术 SM2椭圆曲线公钥密码算法 第1部分：总则》</w:t>
            </w:r>
            <w:r>
              <w:rPr>
                <w:rFonts w:hint="eastAsia" w:ascii="Times New Roman" w:hAnsi="Times New Roman" w:eastAsia="仿宋_GB2312" w:cs="Times New Roman"/>
                <w:bCs/>
                <w:sz w:val="24"/>
                <w:szCs w:val="24"/>
              </w:rPr>
              <w:t>等5项标准</w:t>
            </w:r>
            <w:r>
              <w:rPr>
                <w:rFonts w:ascii="Times New Roman" w:hAnsi="Times New Roman" w:eastAsia="仿宋_GB2312" w:cs="Times New Roman"/>
                <w:bCs/>
                <w:sz w:val="24"/>
                <w:szCs w:val="24"/>
              </w:rPr>
              <w:t xml:space="preserve"> </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信息安全</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（SAC/TC260）</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32918.1—2016《信息安全技术 SM2椭圆曲线公钥密码算法 第1部分：总则》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GB/T 32918.2—2016《信息安全技术 SM2椭圆曲线公钥密码算法 第2部分：数字签名算法》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GB/T 32918.3—2016《信息安全技术 SM2椭圆曲线公钥密码算法 第3部分：密钥交换协议》</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GB/T 32918.4—2016《信息安全技术 SM2椭圆曲线公钥密码算法 第4部分：公钥加密算法》</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5.GB/T 32918.5—2017《信息安全技术 SM2椭圆曲线公钥密码算法 第5部分：参数定义</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北京华大信安科技有限公司</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中国人民解放军战略支援部队信息工程大学</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中国科学院数据与通信保护研究教育中心</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陈建华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祝跃飞</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叶顶锋</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胡磊</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裴定一</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彭国华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张亚娟</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张振峰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33668—2017《地铁安全疏散规范</w:t>
            </w:r>
            <w:r>
              <w:rPr>
                <w:rFonts w:hint="eastAsia" w:ascii="Times New Roman" w:hAnsi="Times New Roman" w:eastAsia="仿宋_GB2312" w:cs="Times New Roman"/>
                <w:bCs/>
                <w:sz w:val="24"/>
                <w:szCs w:val="24"/>
              </w:rPr>
              <w:t>》</w:t>
            </w:r>
            <w:r>
              <w:rPr>
                <w:rFonts w:ascii="Times New Roman" w:hAnsi="Times New Roman" w:eastAsia="仿宋_GB2312" w:cs="Times New Roman"/>
                <w:bCs/>
                <w:sz w:val="24"/>
                <w:szCs w:val="24"/>
              </w:rPr>
              <w:t>等6项标准</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公共安全基础</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（SAC/TC351）</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GB/T 33668—2017《地铁安全疏散规范》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AQ 8004—2007《城市轨道交通安全预评价细则》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AQ 8007—2013《城市轨道交通试运营前安全评价规范》</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AQ 8005—2007《城市轨道交通安全验收评价细则》</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Q/CYAKY 0001—2012《地铁防灾系统热烟测试要求》</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Q/CYAKY 0002—2015《地铁火灾模型实验测试技术要求</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中国安全生产科学研究院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中国标准化研究院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史聪灵</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秦挺鑫</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钟茂华</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吕敬民</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张兴凯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李建</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何理</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石杰红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shd w:val="clear" w:color="auto" w:fill="auto"/>
            <w:vAlign w:val="center"/>
          </w:tcPr>
          <w:p>
            <w:pPr>
              <w:pStyle w:val="19"/>
              <w:numPr>
                <w:ilvl w:val="0"/>
                <w:numId w:val="4"/>
              </w:numPr>
              <w:adjustRightInd w:val="0"/>
              <w:snapToGrid w:val="0"/>
              <w:spacing w:line="300" w:lineRule="exact"/>
              <w:ind w:firstLineChars="0"/>
              <w:jc w:val="center"/>
              <w:rPr>
                <w:rFonts w:ascii="Times New Roman" w:hAnsi="Times New Roman" w:eastAsia="仿宋_GB2312" w:cs="Times New Roman"/>
                <w:bCs/>
                <w:sz w:val="24"/>
                <w:szCs w:val="24"/>
              </w:rPr>
            </w:pPr>
          </w:p>
        </w:tc>
        <w:tc>
          <w:tcPr>
            <w:tcW w:w="2126"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34906—2017《致密油地质评价方法</w:t>
            </w:r>
            <w:r>
              <w:rPr>
                <w:rFonts w:hint="eastAsia" w:ascii="Times New Roman" w:hAnsi="Times New Roman" w:eastAsia="仿宋_GB2312" w:cs="Times New Roman"/>
                <w:bCs/>
                <w:sz w:val="24"/>
                <w:szCs w:val="24"/>
              </w:rPr>
              <w:t>》</w:t>
            </w:r>
          </w:p>
        </w:tc>
        <w:tc>
          <w:tcPr>
            <w:tcW w:w="1559"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全国</w:t>
            </w:r>
            <w:r>
              <w:rPr>
                <w:rFonts w:ascii="Times New Roman" w:hAnsi="Times New Roman" w:eastAsia="仿宋_GB2312" w:cs="Times New Roman"/>
                <w:bCs/>
                <w:sz w:val="24"/>
                <w:szCs w:val="24"/>
              </w:rPr>
              <w:t>石油天然气</w:t>
            </w:r>
            <w:r>
              <w:rPr>
                <w:rFonts w:hint="eastAsia" w:ascii="Times New Roman" w:hAnsi="Times New Roman" w:eastAsia="仿宋_GB2312" w:cs="Times New Roman"/>
                <w:bCs/>
                <w:sz w:val="24"/>
                <w:szCs w:val="24"/>
              </w:rPr>
              <w:t>标准化技术委员会</w:t>
            </w:r>
            <w:r>
              <w:rPr>
                <w:rFonts w:ascii="Times New Roman" w:hAnsi="Times New Roman" w:eastAsia="仿宋_GB2312" w:cs="Times New Roman"/>
                <w:bCs/>
                <w:sz w:val="24"/>
                <w:szCs w:val="24"/>
              </w:rPr>
              <w:t>（SAC/TC355）</w:t>
            </w:r>
          </w:p>
        </w:tc>
        <w:tc>
          <w:tcPr>
            <w:tcW w:w="3828" w:type="dxa"/>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GB/T 34906—2017《致密油地质评价方法</w:t>
            </w:r>
            <w:r>
              <w:rPr>
                <w:rFonts w:hint="eastAsia" w:ascii="Times New Roman" w:hAnsi="Times New Roman" w:eastAsia="仿宋_GB2312" w:cs="Times New Roman"/>
                <w:bCs/>
                <w:sz w:val="24"/>
                <w:szCs w:val="24"/>
              </w:rPr>
              <w:t>》</w:t>
            </w:r>
          </w:p>
        </w:tc>
        <w:tc>
          <w:tcPr>
            <w:tcW w:w="4110"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中国石油天然气股份有限公司勘探开发研究院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中国石油长庆油田分公司勘探开发研究院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中国石油吉林油田分公司勘探开发研究院</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中国石油化工股份有限公司石油勘探开发研究院</w:t>
            </w:r>
          </w:p>
        </w:tc>
        <w:tc>
          <w:tcPr>
            <w:tcW w:w="1418" w:type="dxa"/>
            <w:shd w:val="clear" w:color="auto" w:fill="auto"/>
            <w:vAlign w:val="center"/>
          </w:tcPr>
          <w:p>
            <w:pPr>
              <w:adjustRightInd w:val="0"/>
              <w:snapToGrid w:val="0"/>
              <w:spacing w:line="300" w:lineRule="exact"/>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1. 邹才能,</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2. 朱如凯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3. 李建忠</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4. 陶士振</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5. 吴松涛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6. 姚泾利</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7. 江涛</w:t>
            </w:r>
            <w:r>
              <w:rPr>
                <w:rFonts w:ascii="Times New Roman" w:hAnsi="Times New Roman" w:eastAsia="仿宋_GB2312" w:cs="Times New Roman"/>
                <w:bCs/>
                <w:sz w:val="24"/>
                <w:szCs w:val="24"/>
              </w:rPr>
              <w:br w:type="textWrapping"/>
            </w:r>
            <w:r>
              <w:rPr>
                <w:rFonts w:ascii="Times New Roman" w:hAnsi="Times New Roman" w:eastAsia="仿宋_GB2312" w:cs="Times New Roman"/>
                <w:bCs/>
                <w:sz w:val="24"/>
                <w:szCs w:val="24"/>
              </w:rPr>
              <w:t>8. 胡宗全</w:t>
            </w:r>
          </w:p>
        </w:tc>
      </w:tr>
      <w:bookmarkEnd w:id="0"/>
    </w:tbl>
    <w:p>
      <w:pPr>
        <w:widowControl/>
        <w:spacing w:line="594" w:lineRule="exact"/>
        <w:jc w:val="left"/>
        <w:rPr>
          <w:rFonts w:ascii="楷体_GB2312" w:hAnsi="楷体_GB2312" w:eastAsia="楷体_GB2312" w:cs="楷体_GB2312"/>
          <w:sz w:val="32"/>
          <w:szCs w:val="32"/>
        </w:rPr>
      </w:pPr>
    </w:p>
    <w:sectPr>
      <w:footerReference r:id="rId3" w:type="default"/>
      <w:pgSz w:w="16838" w:h="11906" w:orient="landscape"/>
      <w:pgMar w:top="1474" w:right="1474" w:bottom="1361" w:left="1474" w:header="851" w:footer="992" w:gutter="0"/>
      <w:pgNumType w:fmt="numberInDash"/>
      <w:cols w:space="0" w:num="1"/>
      <w:docGrid w:type="linesAndChar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v:path/>
          <v:fill on="f" focussize="0,0"/>
          <v:stroke on="f" joinstyle="miter"/>
          <v:imagedata o:title=""/>
          <o:lock v:ext="edit"/>
          <v:textbox inset="0mm,0mm,0mm,0mm" style="mso-fit-shape-to-text:t;">
            <w:txbxContent>
              <w:sdt>
                <w:sdtPr>
                  <w:id w:val="645711162"/>
                </w:sdtPr>
                <w:sdtEndPr>
                  <w:rPr>
                    <w:rFonts w:hint="eastAsia" w:ascii="仿宋_GB2312" w:hAnsi="仿宋_GB2312" w:eastAsia="仿宋_GB2312" w:cs="仿宋_GB2312"/>
                    <w:sz w:val="32"/>
                    <w:szCs w:val="32"/>
                  </w:rPr>
                </w:sdtEndPr>
                <w:sdtContent>
                  <w:p>
                    <w:pPr>
                      <w:pStyle w:val="4"/>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w:t>
                    </w:r>
                    <w:r>
                      <w:rPr>
                        <w:rFonts w:ascii="仿宋_GB2312" w:hAnsi="仿宋_GB2312" w:eastAsia="仿宋_GB2312" w:cs="仿宋_GB2312"/>
                        <w:sz w:val="32"/>
                        <w:szCs w:val="32"/>
                      </w:rPr>
                      <w:t xml:space="preserve"> 31 -</w:t>
                    </w:r>
                    <w:r>
                      <w:rPr>
                        <w:rFonts w:hint="eastAsia" w:ascii="仿宋_GB2312" w:hAnsi="仿宋_GB2312" w:eastAsia="仿宋_GB2312" w:cs="仿宋_GB2312"/>
                        <w:sz w:val="32"/>
                        <w:szCs w:val="32"/>
                      </w:rPr>
                      <w:fldChar w:fldCharType="end"/>
                    </w:r>
                  </w:p>
                </w:sdtContent>
              </w:sdt>
              <w:p>
                <w:pPr>
                  <w:rPr>
                    <w:rFonts w:ascii="仿宋_GB2312" w:hAnsi="仿宋_GB2312" w:eastAsia="仿宋_GB2312" w:cs="仿宋_GB2312"/>
                    <w:sz w:val="32"/>
                    <w:szCs w:val="32"/>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AE2913"/>
    <w:multiLevelType w:val="multilevel"/>
    <w:tmpl w:val="D6AE29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8AD290"/>
    <w:multiLevelType w:val="multilevel"/>
    <w:tmpl w:val="1C8AD2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EE3EA9"/>
    <w:multiLevelType w:val="singleLevel"/>
    <w:tmpl w:val="77EE3EA9"/>
    <w:lvl w:ilvl="0" w:tentative="0">
      <w:start w:val="1"/>
      <w:numFmt w:val="chineseCountingThousand"/>
      <w:lvlText w:val="%1、"/>
      <w:lvlJc w:val="left"/>
      <w:pPr>
        <w:ind w:left="420" w:hanging="420"/>
      </w:pPr>
      <w:rPr>
        <w:rFonts w:hint="eastAsia"/>
      </w:rPr>
    </w:lvl>
  </w:abstractNum>
  <w:abstractNum w:abstractNumId="3">
    <w:nsid w:val="7E066F0A"/>
    <w:multiLevelType w:val="multilevel"/>
    <w:tmpl w:val="7E066F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49"/>
  <w:displayHorizontalDrawingGridEvery w:val="2"/>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2EF0"/>
    <w:rsid w:val="00013797"/>
    <w:rsid w:val="0002094A"/>
    <w:rsid w:val="00033DCB"/>
    <w:rsid w:val="000447F1"/>
    <w:rsid w:val="00051641"/>
    <w:rsid w:val="00061DB6"/>
    <w:rsid w:val="0006263E"/>
    <w:rsid w:val="00082AD2"/>
    <w:rsid w:val="000A0098"/>
    <w:rsid w:val="000A2ECE"/>
    <w:rsid w:val="000A36FE"/>
    <w:rsid w:val="000B72CE"/>
    <w:rsid w:val="000C55CF"/>
    <w:rsid w:val="000D7B89"/>
    <w:rsid w:val="000E6CAD"/>
    <w:rsid w:val="0010198C"/>
    <w:rsid w:val="00114E49"/>
    <w:rsid w:val="00145920"/>
    <w:rsid w:val="00180CF1"/>
    <w:rsid w:val="00184FF0"/>
    <w:rsid w:val="00186B67"/>
    <w:rsid w:val="0019466F"/>
    <w:rsid w:val="001B429D"/>
    <w:rsid w:val="001B65EF"/>
    <w:rsid w:val="001C5836"/>
    <w:rsid w:val="001F0BE2"/>
    <w:rsid w:val="00200D1B"/>
    <w:rsid w:val="0020151F"/>
    <w:rsid w:val="00201C88"/>
    <w:rsid w:val="00214310"/>
    <w:rsid w:val="00227CD7"/>
    <w:rsid w:val="00234EF3"/>
    <w:rsid w:val="00247F61"/>
    <w:rsid w:val="002805E7"/>
    <w:rsid w:val="00291394"/>
    <w:rsid w:val="00291B71"/>
    <w:rsid w:val="00292C9D"/>
    <w:rsid w:val="002B28DD"/>
    <w:rsid w:val="002B600D"/>
    <w:rsid w:val="00306348"/>
    <w:rsid w:val="003148C4"/>
    <w:rsid w:val="00324037"/>
    <w:rsid w:val="00331FBE"/>
    <w:rsid w:val="00332AC2"/>
    <w:rsid w:val="003612FC"/>
    <w:rsid w:val="00370DB6"/>
    <w:rsid w:val="00380502"/>
    <w:rsid w:val="003836CB"/>
    <w:rsid w:val="003940CE"/>
    <w:rsid w:val="003C5F3D"/>
    <w:rsid w:val="003D2E04"/>
    <w:rsid w:val="003E156F"/>
    <w:rsid w:val="0042115E"/>
    <w:rsid w:val="00421ED1"/>
    <w:rsid w:val="004331E4"/>
    <w:rsid w:val="004408F9"/>
    <w:rsid w:val="004517E6"/>
    <w:rsid w:val="0046012F"/>
    <w:rsid w:val="00462632"/>
    <w:rsid w:val="00470B52"/>
    <w:rsid w:val="00474568"/>
    <w:rsid w:val="0048027F"/>
    <w:rsid w:val="00482EF0"/>
    <w:rsid w:val="00487166"/>
    <w:rsid w:val="00497A9C"/>
    <w:rsid w:val="004A2F24"/>
    <w:rsid w:val="004B1616"/>
    <w:rsid w:val="004B1BFF"/>
    <w:rsid w:val="004C0D69"/>
    <w:rsid w:val="004D172F"/>
    <w:rsid w:val="00515B4C"/>
    <w:rsid w:val="0052354E"/>
    <w:rsid w:val="00532685"/>
    <w:rsid w:val="00544F5B"/>
    <w:rsid w:val="00553B03"/>
    <w:rsid w:val="00563CF9"/>
    <w:rsid w:val="005650B2"/>
    <w:rsid w:val="00565D69"/>
    <w:rsid w:val="005702C9"/>
    <w:rsid w:val="005823E0"/>
    <w:rsid w:val="005A510F"/>
    <w:rsid w:val="005A6A1E"/>
    <w:rsid w:val="005B2DCA"/>
    <w:rsid w:val="005D4D0B"/>
    <w:rsid w:val="005E0D1E"/>
    <w:rsid w:val="005E2330"/>
    <w:rsid w:val="005E2E5A"/>
    <w:rsid w:val="00602872"/>
    <w:rsid w:val="006075A9"/>
    <w:rsid w:val="006254F4"/>
    <w:rsid w:val="006312F2"/>
    <w:rsid w:val="00635D75"/>
    <w:rsid w:val="00644A14"/>
    <w:rsid w:val="006606C1"/>
    <w:rsid w:val="006624E7"/>
    <w:rsid w:val="00692963"/>
    <w:rsid w:val="00694007"/>
    <w:rsid w:val="006B5CFE"/>
    <w:rsid w:val="006B6802"/>
    <w:rsid w:val="006C3197"/>
    <w:rsid w:val="006D28C9"/>
    <w:rsid w:val="006E2623"/>
    <w:rsid w:val="006E306A"/>
    <w:rsid w:val="006F5E95"/>
    <w:rsid w:val="007132F8"/>
    <w:rsid w:val="00721154"/>
    <w:rsid w:val="007348B5"/>
    <w:rsid w:val="00737B2F"/>
    <w:rsid w:val="007408A7"/>
    <w:rsid w:val="00740AA8"/>
    <w:rsid w:val="007725EE"/>
    <w:rsid w:val="00780E21"/>
    <w:rsid w:val="00786425"/>
    <w:rsid w:val="00786C44"/>
    <w:rsid w:val="0078718B"/>
    <w:rsid w:val="007D2B05"/>
    <w:rsid w:val="007E0602"/>
    <w:rsid w:val="007E22F9"/>
    <w:rsid w:val="007F3963"/>
    <w:rsid w:val="00835C79"/>
    <w:rsid w:val="00843542"/>
    <w:rsid w:val="00844F4C"/>
    <w:rsid w:val="0084754B"/>
    <w:rsid w:val="00855DE1"/>
    <w:rsid w:val="008606C6"/>
    <w:rsid w:val="00882A39"/>
    <w:rsid w:val="00891B6A"/>
    <w:rsid w:val="008A0FF1"/>
    <w:rsid w:val="008A31B9"/>
    <w:rsid w:val="008A53AF"/>
    <w:rsid w:val="008A6897"/>
    <w:rsid w:val="008B633C"/>
    <w:rsid w:val="008F51EE"/>
    <w:rsid w:val="008F670C"/>
    <w:rsid w:val="00905210"/>
    <w:rsid w:val="00924393"/>
    <w:rsid w:val="00965F14"/>
    <w:rsid w:val="00991335"/>
    <w:rsid w:val="0099578E"/>
    <w:rsid w:val="009A0088"/>
    <w:rsid w:val="009A04AF"/>
    <w:rsid w:val="009A0CE1"/>
    <w:rsid w:val="009A7F34"/>
    <w:rsid w:val="009B1460"/>
    <w:rsid w:val="009B2E9D"/>
    <w:rsid w:val="009C42A4"/>
    <w:rsid w:val="009C5264"/>
    <w:rsid w:val="009D00F3"/>
    <w:rsid w:val="009D23A8"/>
    <w:rsid w:val="009D4761"/>
    <w:rsid w:val="009F3AC2"/>
    <w:rsid w:val="00A06D11"/>
    <w:rsid w:val="00A2522E"/>
    <w:rsid w:val="00A42ED2"/>
    <w:rsid w:val="00A4426F"/>
    <w:rsid w:val="00A54FA5"/>
    <w:rsid w:val="00A70D9F"/>
    <w:rsid w:val="00A7251F"/>
    <w:rsid w:val="00A91982"/>
    <w:rsid w:val="00A97421"/>
    <w:rsid w:val="00A97DA0"/>
    <w:rsid w:val="00AA1035"/>
    <w:rsid w:val="00AB68DC"/>
    <w:rsid w:val="00AC2057"/>
    <w:rsid w:val="00AD72E4"/>
    <w:rsid w:val="00AE4D45"/>
    <w:rsid w:val="00AE73EC"/>
    <w:rsid w:val="00AF1544"/>
    <w:rsid w:val="00AF2C9D"/>
    <w:rsid w:val="00AF5847"/>
    <w:rsid w:val="00AF6B08"/>
    <w:rsid w:val="00B0564C"/>
    <w:rsid w:val="00B12C2C"/>
    <w:rsid w:val="00B247F3"/>
    <w:rsid w:val="00B31B27"/>
    <w:rsid w:val="00B70AF9"/>
    <w:rsid w:val="00B72A03"/>
    <w:rsid w:val="00B7429C"/>
    <w:rsid w:val="00B97B26"/>
    <w:rsid w:val="00BB792D"/>
    <w:rsid w:val="00BC61B9"/>
    <w:rsid w:val="00BC6594"/>
    <w:rsid w:val="00BD1D83"/>
    <w:rsid w:val="00BD3A92"/>
    <w:rsid w:val="00BD63F9"/>
    <w:rsid w:val="00BF2E00"/>
    <w:rsid w:val="00BF6431"/>
    <w:rsid w:val="00C00662"/>
    <w:rsid w:val="00C0667C"/>
    <w:rsid w:val="00C06B46"/>
    <w:rsid w:val="00C1262F"/>
    <w:rsid w:val="00C20AD0"/>
    <w:rsid w:val="00C3226B"/>
    <w:rsid w:val="00C3450C"/>
    <w:rsid w:val="00C57FFC"/>
    <w:rsid w:val="00C60FB4"/>
    <w:rsid w:val="00C766DA"/>
    <w:rsid w:val="00C925C6"/>
    <w:rsid w:val="00C93B89"/>
    <w:rsid w:val="00CA341D"/>
    <w:rsid w:val="00CB7B7F"/>
    <w:rsid w:val="00CC23E3"/>
    <w:rsid w:val="00CC5D7B"/>
    <w:rsid w:val="00CC73B3"/>
    <w:rsid w:val="00CD0ED8"/>
    <w:rsid w:val="00CD2138"/>
    <w:rsid w:val="00CD7787"/>
    <w:rsid w:val="00CE1B03"/>
    <w:rsid w:val="00CE6124"/>
    <w:rsid w:val="00CF7FB0"/>
    <w:rsid w:val="00D07831"/>
    <w:rsid w:val="00D17956"/>
    <w:rsid w:val="00D203E6"/>
    <w:rsid w:val="00D2669C"/>
    <w:rsid w:val="00D401BF"/>
    <w:rsid w:val="00D430AE"/>
    <w:rsid w:val="00D46756"/>
    <w:rsid w:val="00D537F4"/>
    <w:rsid w:val="00D60135"/>
    <w:rsid w:val="00D6251A"/>
    <w:rsid w:val="00D63004"/>
    <w:rsid w:val="00D63E9E"/>
    <w:rsid w:val="00D977B2"/>
    <w:rsid w:val="00DA2AE4"/>
    <w:rsid w:val="00DA4966"/>
    <w:rsid w:val="00DB78C0"/>
    <w:rsid w:val="00DD1B55"/>
    <w:rsid w:val="00DD67C1"/>
    <w:rsid w:val="00DE0A9A"/>
    <w:rsid w:val="00DE5F80"/>
    <w:rsid w:val="00DF714E"/>
    <w:rsid w:val="00E05222"/>
    <w:rsid w:val="00E112A4"/>
    <w:rsid w:val="00E15DDA"/>
    <w:rsid w:val="00E3280B"/>
    <w:rsid w:val="00E411B0"/>
    <w:rsid w:val="00E51437"/>
    <w:rsid w:val="00E635A4"/>
    <w:rsid w:val="00E91AF9"/>
    <w:rsid w:val="00EA2742"/>
    <w:rsid w:val="00EA35B0"/>
    <w:rsid w:val="00ED1F09"/>
    <w:rsid w:val="00EE0AEF"/>
    <w:rsid w:val="00EE12D9"/>
    <w:rsid w:val="00EE182F"/>
    <w:rsid w:val="00EE74E7"/>
    <w:rsid w:val="00EF53FC"/>
    <w:rsid w:val="00F35878"/>
    <w:rsid w:val="00F418D6"/>
    <w:rsid w:val="00F50A43"/>
    <w:rsid w:val="00F5346F"/>
    <w:rsid w:val="00F60BA3"/>
    <w:rsid w:val="00F64204"/>
    <w:rsid w:val="00F67171"/>
    <w:rsid w:val="00F77EA0"/>
    <w:rsid w:val="00F836DF"/>
    <w:rsid w:val="00F83F66"/>
    <w:rsid w:val="00F84C6B"/>
    <w:rsid w:val="00FA2185"/>
    <w:rsid w:val="00FB6F1D"/>
    <w:rsid w:val="00FC0276"/>
    <w:rsid w:val="00FE6290"/>
    <w:rsid w:val="00FF3BA3"/>
    <w:rsid w:val="011F3750"/>
    <w:rsid w:val="01286E87"/>
    <w:rsid w:val="0238609C"/>
    <w:rsid w:val="03287AC1"/>
    <w:rsid w:val="03516EFD"/>
    <w:rsid w:val="0479580E"/>
    <w:rsid w:val="04FB4732"/>
    <w:rsid w:val="05584B43"/>
    <w:rsid w:val="06CF7BB1"/>
    <w:rsid w:val="07350FDE"/>
    <w:rsid w:val="07C831D5"/>
    <w:rsid w:val="083876F6"/>
    <w:rsid w:val="08BC0C59"/>
    <w:rsid w:val="08DE25A4"/>
    <w:rsid w:val="09690CED"/>
    <w:rsid w:val="09B56CD4"/>
    <w:rsid w:val="0AB05F7E"/>
    <w:rsid w:val="0ADE0FE4"/>
    <w:rsid w:val="0AE57A3F"/>
    <w:rsid w:val="0B3D1AF5"/>
    <w:rsid w:val="0B9954CC"/>
    <w:rsid w:val="0C826393"/>
    <w:rsid w:val="0CEE7964"/>
    <w:rsid w:val="0D40069B"/>
    <w:rsid w:val="0D7D14FC"/>
    <w:rsid w:val="0DCE45B4"/>
    <w:rsid w:val="0DDD2465"/>
    <w:rsid w:val="0E0210D1"/>
    <w:rsid w:val="0F140A31"/>
    <w:rsid w:val="0FF51B90"/>
    <w:rsid w:val="119724F9"/>
    <w:rsid w:val="12575356"/>
    <w:rsid w:val="133107A3"/>
    <w:rsid w:val="1376526B"/>
    <w:rsid w:val="145F67EC"/>
    <w:rsid w:val="152D6B02"/>
    <w:rsid w:val="154A3C74"/>
    <w:rsid w:val="17141E8E"/>
    <w:rsid w:val="17592C9A"/>
    <w:rsid w:val="17CF7CBF"/>
    <w:rsid w:val="17F232A8"/>
    <w:rsid w:val="185160D7"/>
    <w:rsid w:val="1885590A"/>
    <w:rsid w:val="19E828A6"/>
    <w:rsid w:val="1A1A5C8B"/>
    <w:rsid w:val="1AFE535E"/>
    <w:rsid w:val="1C8048EB"/>
    <w:rsid w:val="1C8458EE"/>
    <w:rsid w:val="1CA43F79"/>
    <w:rsid w:val="1D6160E9"/>
    <w:rsid w:val="1DF76C01"/>
    <w:rsid w:val="1E157393"/>
    <w:rsid w:val="1E161A53"/>
    <w:rsid w:val="1F480423"/>
    <w:rsid w:val="200C53F2"/>
    <w:rsid w:val="21592932"/>
    <w:rsid w:val="22994DFD"/>
    <w:rsid w:val="23B32FC2"/>
    <w:rsid w:val="23E25592"/>
    <w:rsid w:val="24594ED3"/>
    <w:rsid w:val="24B23348"/>
    <w:rsid w:val="252F7861"/>
    <w:rsid w:val="274649C7"/>
    <w:rsid w:val="27493314"/>
    <w:rsid w:val="28FB4AA2"/>
    <w:rsid w:val="29821832"/>
    <w:rsid w:val="29BE0752"/>
    <w:rsid w:val="2A0C63AF"/>
    <w:rsid w:val="2AB06C5A"/>
    <w:rsid w:val="2AE96211"/>
    <w:rsid w:val="2B56772C"/>
    <w:rsid w:val="2B6A75A5"/>
    <w:rsid w:val="2CC26860"/>
    <w:rsid w:val="2CCA7C9D"/>
    <w:rsid w:val="2D19500F"/>
    <w:rsid w:val="2D243C96"/>
    <w:rsid w:val="2DB5072E"/>
    <w:rsid w:val="2E2D72F5"/>
    <w:rsid w:val="2E875A18"/>
    <w:rsid w:val="2EC06955"/>
    <w:rsid w:val="2F5D2614"/>
    <w:rsid w:val="2FA7549F"/>
    <w:rsid w:val="305123D1"/>
    <w:rsid w:val="3117569C"/>
    <w:rsid w:val="315E4870"/>
    <w:rsid w:val="3173655C"/>
    <w:rsid w:val="31827FB6"/>
    <w:rsid w:val="32991392"/>
    <w:rsid w:val="32BD6532"/>
    <w:rsid w:val="32E47676"/>
    <w:rsid w:val="343D7B1E"/>
    <w:rsid w:val="368C212E"/>
    <w:rsid w:val="371E09A4"/>
    <w:rsid w:val="378357A8"/>
    <w:rsid w:val="3806502D"/>
    <w:rsid w:val="384E07CE"/>
    <w:rsid w:val="39C84D5D"/>
    <w:rsid w:val="39CA5475"/>
    <w:rsid w:val="3AA67393"/>
    <w:rsid w:val="3D4D7AE4"/>
    <w:rsid w:val="3DC27F15"/>
    <w:rsid w:val="3DD73051"/>
    <w:rsid w:val="3E0664F2"/>
    <w:rsid w:val="3FF57EAD"/>
    <w:rsid w:val="40EE6A1F"/>
    <w:rsid w:val="41745CB8"/>
    <w:rsid w:val="41817912"/>
    <w:rsid w:val="44041C56"/>
    <w:rsid w:val="44473BDC"/>
    <w:rsid w:val="45927874"/>
    <w:rsid w:val="481521D7"/>
    <w:rsid w:val="48C653B3"/>
    <w:rsid w:val="49E95B75"/>
    <w:rsid w:val="49F52D1A"/>
    <w:rsid w:val="4A424111"/>
    <w:rsid w:val="4A88110B"/>
    <w:rsid w:val="4DB04C34"/>
    <w:rsid w:val="4DC54274"/>
    <w:rsid w:val="4DFC2479"/>
    <w:rsid w:val="507401C7"/>
    <w:rsid w:val="50C42EAC"/>
    <w:rsid w:val="50DB08D2"/>
    <w:rsid w:val="51DD7C9A"/>
    <w:rsid w:val="534B0B9D"/>
    <w:rsid w:val="53B90260"/>
    <w:rsid w:val="553D135D"/>
    <w:rsid w:val="55C87964"/>
    <w:rsid w:val="564E65CC"/>
    <w:rsid w:val="570B78B5"/>
    <w:rsid w:val="57266858"/>
    <w:rsid w:val="580C6301"/>
    <w:rsid w:val="58932597"/>
    <w:rsid w:val="59134AF3"/>
    <w:rsid w:val="598A7E3D"/>
    <w:rsid w:val="59A46EE6"/>
    <w:rsid w:val="5ACB5F54"/>
    <w:rsid w:val="5D3746E2"/>
    <w:rsid w:val="5E0E0318"/>
    <w:rsid w:val="5EE35CEF"/>
    <w:rsid w:val="5FA31B95"/>
    <w:rsid w:val="5FD468F4"/>
    <w:rsid w:val="602E1A7B"/>
    <w:rsid w:val="61282794"/>
    <w:rsid w:val="623F1FCB"/>
    <w:rsid w:val="628478EA"/>
    <w:rsid w:val="62E73367"/>
    <w:rsid w:val="641F03C5"/>
    <w:rsid w:val="65C678E1"/>
    <w:rsid w:val="679027F7"/>
    <w:rsid w:val="67DD7D3B"/>
    <w:rsid w:val="68A333E3"/>
    <w:rsid w:val="68FF4DBD"/>
    <w:rsid w:val="698845E2"/>
    <w:rsid w:val="69D0467D"/>
    <w:rsid w:val="6D4E62DC"/>
    <w:rsid w:val="6E5C7AC0"/>
    <w:rsid w:val="6F68744A"/>
    <w:rsid w:val="6F7C694F"/>
    <w:rsid w:val="6FF51239"/>
    <w:rsid w:val="70047CA2"/>
    <w:rsid w:val="70461912"/>
    <w:rsid w:val="71B96174"/>
    <w:rsid w:val="728B47DB"/>
    <w:rsid w:val="72BC7669"/>
    <w:rsid w:val="73121BE8"/>
    <w:rsid w:val="73352072"/>
    <w:rsid w:val="73635D9F"/>
    <w:rsid w:val="7535751B"/>
    <w:rsid w:val="76951E5D"/>
    <w:rsid w:val="76C51363"/>
    <w:rsid w:val="7824547E"/>
    <w:rsid w:val="79227BBD"/>
    <w:rsid w:val="79230381"/>
    <w:rsid w:val="796219FD"/>
    <w:rsid w:val="7ADB1CBC"/>
    <w:rsid w:val="7B126B2C"/>
    <w:rsid w:val="7EE34B7B"/>
    <w:rsid w:val="7EFD3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rFonts w:ascii="Calibri" w:hAnsi="Calibri" w:eastAsia="宋体" w:cs="Times New Roman"/>
      <w:szCs w:val="24"/>
    </w:r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7">
    <w:name w:val="annotation subject"/>
    <w:basedOn w:val="2"/>
    <w:next w:val="2"/>
    <w:link w:val="20"/>
    <w:semiHidden/>
    <w:unhideWhenUsed/>
    <w:qFormat/>
    <w:uiPriority w:val="99"/>
    <w:rPr>
      <w:rFonts w:asciiTheme="minorHAnsi" w:hAnsiTheme="minorHAnsi" w:eastAsiaTheme="minorEastAsia" w:cstheme="minorBidi"/>
      <w:b/>
      <w:bCs/>
      <w:szCs w:val="2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unhideWhenUsed/>
    <w:qFormat/>
    <w:uiPriority w:val="99"/>
    <w:rPr>
      <w:color w:val="800080"/>
      <w:u w:val="single"/>
    </w:rPr>
  </w:style>
  <w:style w:type="character" w:styleId="12">
    <w:name w:val="Hyperlink"/>
    <w:qFormat/>
    <w:uiPriority w:val="99"/>
    <w:rPr>
      <w:color w:val="0000FF"/>
      <w:u w:val="single"/>
    </w:rPr>
  </w:style>
  <w:style w:type="character" w:styleId="13">
    <w:name w:val="annotation reference"/>
    <w:qFormat/>
    <w:uiPriority w:val="0"/>
    <w:rPr>
      <w:sz w:val="21"/>
      <w:szCs w:val="21"/>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文字 字符"/>
    <w:basedOn w:val="10"/>
    <w:semiHidden/>
    <w:qFormat/>
    <w:uiPriority w:val="99"/>
  </w:style>
  <w:style w:type="character" w:customStyle="1" w:styleId="17">
    <w:name w:val="批注文字 Char"/>
    <w:link w:val="2"/>
    <w:qFormat/>
    <w:uiPriority w:val="0"/>
    <w:rPr>
      <w:rFonts w:ascii="Calibri" w:hAnsi="Calibri" w:eastAsia="宋体" w:cs="Times New Roman"/>
      <w:szCs w:val="24"/>
    </w:rPr>
  </w:style>
  <w:style w:type="character" w:customStyle="1" w:styleId="18">
    <w:name w:val="批注框文本 Char"/>
    <w:basedOn w:val="10"/>
    <w:link w:val="3"/>
    <w:semiHidden/>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主题 Char"/>
    <w:basedOn w:val="17"/>
    <w:link w:val="7"/>
    <w:semiHidden/>
    <w:qFormat/>
    <w:uiPriority w:val="99"/>
    <w:rPr>
      <w:rFonts w:ascii="Calibri" w:hAnsi="Calibri" w:eastAsia="宋体" w:cs="Times New Roman"/>
      <w:b/>
      <w:bCs/>
      <w:szCs w:val="24"/>
    </w:rPr>
  </w:style>
  <w:style w:type="character" w:customStyle="1" w:styleId="21">
    <w:name w:val="标题2-liyr 字符"/>
    <w:link w:val="22"/>
    <w:qFormat/>
    <w:uiPriority w:val="0"/>
    <w:rPr>
      <w:rFonts w:eastAsia="黑体"/>
      <w:color w:val="000000"/>
      <w:sz w:val="32"/>
      <w:szCs w:val="24"/>
      <w:lang w:eastAsia="en-US"/>
    </w:rPr>
  </w:style>
  <w:style w:type="paragraph" w:customStyle="1" w:styleId="22">
    <w:name w:val="标题2-liyr"/>
    <w:basedOn w:val="23"/>
    <w:link w:val="21"/>
    <w:qFormat/>
    <w:uiPriority w:val="0"/>
    <w:pPr>
      <w:spacing w:beforeLines="100" w:afterLines="100"/>
      <w:jc w:val="center"/>
    </w:pPr>
    <w:rPr>
      <w:rFonts w:eastAsia="黑体"/>
      <w:sz w:val="32"/>
    </w:rPr>
  </w:style>
  <w:style w:type="paragraph" w:customStyle="1" w:styleId="23">
    <w:name w:val="正文-liyr"/>
    <w:basedOn w:val="1"/>
    <w:link w:val="26"/>
    <w:qFormat/>
    <w:uiPriority w:val="0"/>
    <w:pPr>
      <w:spacing w:line="360" w:lineRule="exact"/>
      <w:jc w:val="left"/>
    </w:pPr>
    <w:rPr>
      <w:color w:val="000000"/>
      <w:kern w:val="0"/>
      <w:sz w:val="24"/>
      <w:szCs w:val="24"/>
      <w:lang w:eastAsia="en-US"/>
    </w:rPr>
  </w:style>
  <w:style w:type="character" w:customStyle="1" w:styleId="24">
    <w:name w:val="标题3-liyr 字符"/>
    <w:link w:val="25"/>
    <w:qFormat/>
    <w:uiPriority w:val="0"/>
    <w:rPr>
      <w:rFonts w:eastAsia="黑体"/>
      <w:color w:val="000000"/>
      <w:sz w:val="28"/>
      <w:szCs w:val="24"/>
      <w:lang w:eastAsia="en-US"/>
    </w:rPr>
  </w:style>
  <w:style w:type="paragraph" w:customStyle="1" w:styleId="25">
    <w:name w:val="标题3-liyr"/>
    <w:basedOn w:val="1"/>
    <w:link w:val="24"/>
    <w:qFormat/>
    <w:uiPriority w:val="0"/>
    <w:pPr>
      <w:spacing w:beforeLines="100" w:afterLines="100" w:line="440" w:lineRule="exact"/>
      <w:jc w:val="left"/>
    </w:pPr>
    <w:rPr>
      <w:rFonts w:eastAsia="黑体"/>
      <w:color w:val="000000"/>
      <w:kern w:val="0"/>
      <w:sz w:val="28"/>
      <w:szCs w:val="24"/>
      <w:lang w:eastAsia="en-US"/>
    </w:rPr>
  </w:style>
  <w:style w:type="character" w:customStyle="1" w:styleId="26">
    <w:name w:val="正文-liyr 字符"/>
    <w:link w:val="23"/>
    <w:qFormat/>
    <w:uiPriority w:val="0"/>
    <w:rPr>
      <w:color w:val="000000"/>
      <w:sz w:val="24"/>
      <w:szCs w:val="24"/>
      <w:lang w:eastAsia="en-US"/>
    </w:rPr>
  </w:style>
  <w:style w:type="paragraph" w:customStyle="1" w:styleId="27">
    <w:name w:val="xl72"/>
    <w:basedOn w:val="1"/>
    <w:qFormat/>
    <w:uiPriority w:val="0"/>
    <w:pPr>
      <w:widowControl/>
      <w:spacing w:before="100" w:beforeAutospacing="1" w:after="100" w:afterAutospacing="1"/>
      <w:jc w:val="left"/>
      <w:textAlignment w:val="top"/>
    </w:pPr>
    <w:rPr>
      <w:rFonts w:ascii="宋体" w:hAnsi="宋体" w:eastAsia="宋体" w:cs="宋体"/>
      <w:kern w:val="0"/>
      <w:sz w:val="36"/>
      <w:szCs w:val="36"/>
    </w:rPr>
  </w:style>
  <w:style w:type="paragraph" w:customStyle="1" w:styleId="28">
    <w:name w:val="font11"/>
    <w:basedOn w:val="1"/>
    <w:qFormat/>
    <w:uiPriority w:val="0"/>
    <w:pPr>
      <w:widowControl/>
      <w:spacing w:before="100" w:beforeAutospacing="1" w:after="100" w:afterAutospacing="1"/>
      <w:jc w:val="left"/>
    </w:pPr>
    <w:rPr>
      <w:rFonts w:ascii="Calibri" w:hAnsi="Calibri" w:eastAsia="宋体" w:cs="Calibri"/>
      <w:kern w:val="0"/>
      <w:sz w:val="36"/>
      <w:szCs w:val="36"/>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发文稿纸"/>
    <w:basedOn w:val="1"/>
    <w:qFormat/>
    <w:uiPriority w:val="0"/>
    <w:pPr>
      <w:jc w:val="center"/>
    </w:pPr>
    <w:rPr>
      <w:rFonts w:ascii="Times New Roman" w:hAnsi="Times New Roman" w:eastAsia="宋体" w:cs="Times New Roman"/>
      <w:b/>
      <w:bCs/>
      <w:sz w:val="32"/>
      <w:szCs w:val="24"/>
    </w:rPr>
  </w:style>
  <w:style w:type="paragraph" w:customStyle="1" w:styleId="31">
    <w:name w:val="xl68"/>
    <w:basedOn w:val="1"/>
    <w:qFormat/>
    <w:uiPriority w:val="0"/>
    <w:pPr>
      <w:widowControl/>
      <w:shd w:val="clear" w:color="000000" w:fill="00B050"/>
      <w:spacing w:before="100" w:beforeAutospacing="1" w:after="100" w:afterAutospacing="1"/>
      <w:jc w:val="left"/>
      <w:textAlignment w:val="top"/>
    </w:pPr>
    <w:rPr>
      <w:rFonts w:ascii="Times New Roman" w:hAnsi="Times New Roman" w:eastAsia="宋体" w:cs="Times New Roman"/>
      <w:kern w:val="0"/>
      <w:sz w:val="36"/>
      <w:szCs w:val="36"/>
    </w:rPr>
  </w:style>
  <w:style w:type="paragraph" w:customStyle="1" w:styleId="32">
    <w:name w:val="font9"/>
    <w:basedOn w:val="1"/>
    <w:qFormat/>
    <w:uiPriority w:val="0"/>
    <w:pPr>
      <w:widowControl/>
      <w:spacing w:before="100" w:beforeAutospacing="1" w:after="100" w:afterAutospacing="1"/>
      <w:jc w:val="left"/>
    </w:pPr>
    <w:rPr>
      <w:rFonts w:ascii="宋体" w:hAnsi="宋体" w:eastAsia="宋体" w:cs="宋体"/>
      <w:color w:val="FF0000"/>
      <w:kern w:val="0"/>
      <w:sz w:val="36"/>
      <w:szCs w:val="36"/>
    </w:rPr>
  </w:style>
  <w:style w:type="paragraph" w:customStyle="1" w:styleId="33">
    <w:name w:val="xl70"/>
    <w:basedOn w:val="1"/>
    <w:qFormat/>
    <w:uiPriority w:val="0"/>
    <w:pPr>
      <w:widowControl/>
      <w:spacing w:before="100" w:beforeAutospacing="1" w:after="100" w:afterAutospacing="1"/>
      <w:jc w:val="left"/>
      <w:textAlignment w:val="top"/>
    </w:pPr>
    <w:rPr>
      <w:rFonts w:ascii="Times New Roman" w:hAnsi="Times New Roman" w:eastAsia="宋体" w:cs="Times New Roman"/>
      <w:kern w:val="0"/>
      <w:sz w:val="36"/>
      <w:szCs w:val="36"/>
    </w:rPr>
  </w:style>
  <w:style w:type="paragraph" w:customStyle="1" w:styleId="34">
    <w:name w:val="xl67"/>
    <w:basedOn w:val="1"/>
    <w:qFormat/>
    <w:uiPriority w:val="0"/>
    <w:pPr>
      <w:widowControl/>
      <w:spacing w:before="100" w:beforeAutospacing="1" w:after="100" w:afterAutospacing="1"/>
      <w:jc w:val="left"/>
      <w:textAlignment w:val="top"/>
    </w:pPr>
    <w:rPr>
      <w:rFonts w:ascii="Times New Roman" w:hAnsi="Times New Roman" w:eastAsia="宋体" w:cs="Times New Roman"/>
      <w:color w:val="FF0000"/>
      <w:kern w:val="0"/>
      <w:sz w:val="24"/>
      <w:szCs w:val="24"/>
    </w:rPr>
  </w:style>
  <w:style w:type="paragraph" w:customStyle="1" w:styleId="35">
    <w:name w:val="xl66"/>
    <w:basedOn w:val="1"/>
    <w:qFormat/>
    <w:uiPriority w:val="0"/>
    <w:pPr>
      <w:widowControl/>
      <w:spacing w:before="100" w:beforeAutospacing="1" w:after="100" w:afterAutospacing="1"/>
      <w:jc w:val="left"/>
      <w:textAlignment w:val="top"/>
    </w:pPr>
    <w:rPr>
      <w:rFonts w:ascii="Times New Roman" w:hAnsi="Times New Roman" w:eastAsia="宋体" w:cs="Times New Roman"/>
      <w:color w:val="FF0000"/>
      <w:kern w:val="0"/>
      <w:sz w:val="36"/>
      <w:szCs w:val="36"/>
    </w:rPr>
  </w:style>
  <w:style w:type="paragraph" w:customStyle="1" w:styleId="36">
    <w:name w:val="font10"/>
    <w:basedOn w:val="1"/>
    <w:qFormat/>
    <w:uiPriority w:val="0"/>
    <w:pPr>
      <w:widowControl/>
      <w:spacing w:before="100" w:beforeAutospacing="1" w:after="100" w:afterAutospacing="1"/>
      <w:jc w:val="left"/>
    </w:pPr>
    <w:rPr>
      <w:rFonts w:ascii="Arial" w:hAnsi="Arial" w:eastAsia="宋体" w:cs="Arial"/>
      <w:kern w:val="0"/>
      <w:sz w:val="36"/>
      <w:szCs w:val="36"/>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color w:val="FF0000"/>
      <w:kern w:val="0"/>
      <w:sz w:val="36"/>
      <w:szCs w:val="36"/>
    </w:rPr>
  </w:style>
  <w:style w:type="paragraph" w:customStyle="1" w:styleId="38">
    <w:name w:val="font6"/>
    <w:basedOn w:val="1"/>
    <w:qFormat/>
    <w:uiPriority w:val="0"/>
    <w:pPr>
      <w:widowControl/>
      <w:spacing w:before="100" w:beforeAutospacing="1" w:after="100" w:afterAutospacing="1"/>
      <w:jc w:val="left"/>
    </w:pPr>
    <w:rPr>
      <w:rFonts w:ascii="宋体" w:hAnsi="宋体" w:eastAsia="宋体" w:cs="宋体"/>
      <w:kern w:val="0"/>
      <w:sz w:val="36"/>
      <w:szCs w:val="36"/>
    </w:rPr>
  </w:style>
  <w:style w:type="paragraph" w:customStyle="1" w:styleId="39">
    <w:name w:val="xl73"/>
    <w:basedOn w:val="1"/>
    <w:qFormat/>
    <w:uiPriority w:val="0"/>
    <w:pPr>
      <w:widowControl/>
      <w:spacing w:before="100" w:beforeAutospacing="1" w:after="100" w:afterAutospacing="1"/>
      <w:jc w:val="left"/>
      <w:textAlignment w:val="top"/>
    </w:pPr>
    <w:rPr>
      <w:rFonts w:ascii="宋体" w:hAnsi="宋体" w:eastAsia="宋体" w:cs="宋体"/>
      <w:color w:val="FF0000"/>
      <w:kern w:val="0"/>
      <w:sz w:val="36"/>
      <w:szCs w:val="36"/>
    </w:rPr>
  </w:style>
  <w:style w:type="paragraph" w:customStyle="1" w:styleId="40">
    <w:name w:val="font5"/>
    <w:basedOn w:val="1"/>
    <w:qFormat/>
    <w:uiPriority w:val="0"/>
    <w:pPr>
      <w:widowControl/>
      <w:spacing w:before="100" w:beforeAutospacing="1" w:after="100" w:afterAutospacing="1"/>
      <w:jc w:val="left"/>
    </w:pPr>
    <w:rPr>
      <w:rFonts w:ascii="Times New Roman" w:hAnsi="Times New Roman" w:eastAsia="宋体" w:cs="Times New Roman"/>
      <w:kern w:val="0"/>
      <w:sz w:val="36"/>
      <w:szCs w:val="36"/>
    </w:rPr>
  </w:style>
  <w:style w:type="paragraph" w:customStyle="1" w:styleId="41">
    <w:name w:val="xl74"/>
    <w:basedOn w:val="1"/>
    <w:qFormat/>
    <w:uiPriority w:val="0"/>
    <w:pPr>
      <w:widowControl/>
      <w:spacing w:before="100" w:beforeAutospacing="1" w:after="100" w:afterAutospacing="1"/>
      <w:jc w:val="center"/>
      <w:textAlignment w:val="top"/>
    </w:pPr>
    <w:rPr>
      <w:rFonts w:ascii="宋体" w:hAnsi="宋体" w:eastAsia="宋体" w:cs="宋体"/>
      <w:color w:val="FF0000"/>
      <w:kern w:val="0"/>
      <w:sz w:val="36"/>
      <w:szCs w:val="36"/>
    </w:rPr>
  </w:style>
  <w:style w:type="paragraph" w:customStyle="1" w:styleId="42">
    <w:name w:val="xl71"/>
    <w:basedOn w:val="1"/>
    <w:qFormat/>
    <w:uiPriority w:val="0"/>
    <w:pPr>
      <w:widowControl/>
      <w:spacing w:before="100" w:beforeAutospacing="1" w:after="100" w:afterAutospacing="1"/>
      <w:jc w:val="center"/>
      <w:textAlignment w:val="top"/>
    </w:pPr>
    <w:rPr>
      <w:rFonts w:ascii="宋体" w:hAnsi="宋体" w:eastAsia="宋体" w:cs="宋体"/>
      <w:kern w:val="0"/>
      <w:sz w:val="36"/>
      <w:szCs w:val="36"/>
    </w:rPr>
  </w:style>
  <w:style w:type="paragraph" w:customStyle="1" w:styleId="43">
    <w:name w:val="xl69"/>
    <w:basedOn w:val="1"/>
    <w:qFormat/>
    <w:uiPriority w:val="0"/>
    <w:pPr>
      <w:widowControl/>
      <w:spacing w:before="100" w:beforeAutospacing="1" w:after="100" w:afterAutospacing="1"/>
      <w:jc w:val="center"/>
      <w:textAlignment w:val="top"/>
    </w:pPr>
    <w:rPr>
      <w:rFonts w:ascii="Times New Roman" w:hAnsi="Times New Roman" w:eastAsia="宋体" w:cs="Times New Roman"/>
      <w:kern w:val="0"/>
      <w:sz w:val="36"/>
      <w:szCs w:val="36"/>
    </w:rPr>
  </w:style>
  <w:style w:type="paragraph" w:customStyle="1" w:styleId="44">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36"/>
      <w:szCs w:val="36"/>
    </w:rPr>
  </w:style>
  <w:style w:type="paragraph" w:customStyle="1" w:styleId="45">
    <w:name w:val="xl65"/>
    <w:basedOn w:val="1"/>
    <w:qFormat/>
    <w:uiPriority w:val="0"/>
    <w:pPr>
      <w:widowControl/>
      <w:spacing w:before="100" w:beforeAutospacing="1" w:after="100" w:afterAutospacing="1"/>
      <w:jc w:val="left"/>
      <w:textAlignment w:val="top"/>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69CA3-772E-429C-98DF-D3428739DAA1}">
  <ds:schemaRefs/>
</ds:datastoreItem>
</file>

<file path=docProps/app.xml><?xml version="1.0" encoding="utf-8"?>
<Properties xmlns="http://schemas.openxmlformats.org/officeDocument/2006/extended-properties" xmlns:vt="http://schemas.openxmlformats.org/officeDocument/2006/docPropsVTypes">
  <Template>Normal</Template>
  <Pages>31</Pages>
  <Words>3365</Words>
  <Characters>19184</Characters>
  <Lines>159</Lines>
  <Paragraphs>45</Paragraphs>
  <TotalTime>279</TotalTime>
  <ScaleCrop>false</ScaleCrop>
  <LinksUpToDate>false</LinksUpToDate>
  <CharactersWithSpaces>22504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2020-09-04T00:59:00Z</dcterms:created>
  <dc:creator>朱翔华</dc:creator>
  <cp:lastModifiedBy>斌哥</cp:lastModifiedBy>
  <dcterms:modified xsi:type="dcterms:W3CDTF">2020-09-08T05:57:18Z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