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E009" w14:textId="77777777" w:rsidR="00A32A50" w:rsidRDefault="00B5658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4260BD53" wp14:editId="30411490">
            <wp:simplePos x="0" y="0"/>
            <wp:positionH relativeFrom="column">
              <wp:posOffset>4021455</wp:posOffset>
            </wp:positionH>
            <wp:positionV relativeFrom="paragraph">
              <wp:posOffset>205740</wp:posOffset>
            </wp:positionV>
            <wp:extent cx="1504950" cy="17240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便携式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3D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可视扫描激光雷达</w:t>
      </w:r>
    </w:p>
    <w:p w14:paraId="5E218CAA" w14:textId="77777777" w:rsidR="00A32A50" w:rsidRDefault="00A32A50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</w:p>
    <w:p w14:paraId="481E35F7" w14:textId="77777777" w:rsidR="00A32A50" w:rsidRDefault="00B5658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3D-AERO-LIDAR</w:t>
      </w:r>
      <w:r>
        <w:rPr>
          <w:rFonts w:ascii="微软雅黑" w:eastAsia="微软雅黑" w:hAnsi="微软雅黑" w:cs="微软雅黑" w:hint="eastAsia"/>
          <w:sz w:val="20"/>
          <w:szCs w:val="20"/>
        </w:rPr>
        <w:t>作为全新一代集成型气溶胶雷达，系统结构紧凑，体积小巧，可快速安装部署，较高的便携性。防护功能全面，可选择户外、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车载走航及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站房定点多种情况下工作，连续监测得到的大气气溶胶分布数据。</w:t>
      </w:r>
    </w:p>
    <w:p w14:paraId="4A092743" w14:textId="77777777" w:rsidR="00A32A50" w:rsidRDefault="00B5658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该系统配备欧洲先进的</w:t>
      </w:r>
      <w:r>
        <w:rPr>
          <w:rFonts w:ascii="微软雅黑" w:eastAsia="微软雅黑" w:hAnsi="微软雅黑" w:cs="微软雅黑" w:hint="eastAsia"/>
          <w:sz w:val="20"/>
          <w:szCs w:val="20"/>
        </w:rPr>
        <w:t>3D</w:t>
      </w:r>
      <w:r>
        <w:rPr>
          <w:rFonts w:ascii="微软雅黑" w:eastAsia="微软雅黑" w:hAnsi="微软雅黑" w:cs="微软雅黑" w:hint="eastAsia"/>
          <w:sz w:val="20"/>
          <w:szCs w:val="20"/>
        </w:rPr>
        <w:t>电机，重量轻、精度高、转动范围广，可实现连续的水平、切面、锥面扫描监测；具有专利的摄像功能，实时记录监测地的情况；直接连接到电子地图，可从摄像水平区域中选定某一特定区域进行气溶胶扫描。</w:t>
      </w:r>
    </w:p>
    <w:p w14:paraId="5C3409B5" w14:textId="77777777" w:rsidR="00A32A50" w:rsidRDefault="00B5658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通过人机友好界面</w:t>
      </w:r>
      <w:r>
        <w:rPr>
          <w:rFonts w:ascii="微软雅黑" w:eastAsia="微软雅黑" w:hAnsi="微软雅黑" w:cs="微软雅黑" w:hint="eastAsia"/>
          <w:sz w:val="20"/>
          <w:szCs w:val="20"/>
        </w:rPr>
        <w:t>4.0</w:t>
      </w:r>
      <w:r>
        <w:rPr>
          <w:rFonts w:ascii="微软雅黑" w:eastAsia="微软雅黑" w:hAnsi="微软雅黑" w:cs="微软雅黑" w:hint="eastAsia"/>
          <w:sz w:val="20"/>
          <w:szCs w:val="20"/>
        </w:rPr>
        <w:t>版本的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LidarView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客户端，可分析污染物组成结构和时空演变，获得大气气溶胶消光系数垂直廓线、大气边界层（</w:t>
      </w:r>
      <w:r>
        <w:rPr>
          <w:rFonts w:ascii="微软雅黑" w:eastAsia="微软雅黑" w:hAnsi="微软雅黑" w:cs="微软雅黑" w:hint="eastAsia"/>
          <w:sz w:val="20"/>
          <w:szCs w:val="20"/>
        </w:rPr>
        <w:t>PBL</w:t>
      </w:r>
      <w:r>
        <w:rPr>
          <w:rFonts w:ascii="微软雅黑" w:eastAsia="微软雅黑" w:hAnsi="微软雅黑" w:cs="微软雅黑" w:hint="eastAsia"/>
          <w:sz w:val="20"/>
          <w:szCs w:val="20"/>
        </w:rPr>
        <w:t>）的结构、云层高度、大气能见度和</w:t>
      </w:r>
      <w:r>
        <w:rPr>
          <w:rFonts w:ascii="微软雅黑" w:eastAsia="微软雅黑" w:hAnsi="微软雅黑" w:cs="微软雅黑" w:hint="eastAsia"/>
          <w:sz w:val="20"/>
          <w:szCs w:val="20"/>
        </w:rPr>
        <w:t>PM2.5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sz w:val="20"/>
          <w:szCs w:val="20"/>
        </w:rPr>
        <w:t>PM10</w:t>
      </w:r>
      <w:r>
        <w:rPr>
          <w:rFonts w:ascii="微软雅黑" w:eastAsia="微软雅黑" w:hAnsi="微软雅黑" w:cs="微软雅黑" w:hint="eastAsia"/>
          <w:sz w:val="20"/>
          <w:szCs w:val="20"/>
        </w:rPr>
        <w:t>浓度及其演变特征等信息。</w:t>
      </w:r>
    </w:p>
    <w:p w14:paraId="536552D3" w14:textId="77777777" w:rsidR="00A32A50" w:rsidRDefault="00B5658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技术优势</w:t>
      </w:r>
    </w:p>
    <w:p w14:paraId="71273BF8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人眼安全：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激光安全等级符合</w:t>
      </w:r>
      <w:r>
        <w:rPr>
          <w:rFonts w:ascii="微软雅黑" w:eastAsia="微软雅黑" w:hAnsi="微软雅黑" w:cs="微软雅黑" w:hint="eastAsia"/>
          <w:sz w:val="20"/>
          <w:szCs w:val="20"/>
        </w:rPr>
        <w:t>3B</w:t>
      </w:r>
      <w:r>
        <w:rPr>
          <w:rFonts w:ascii="微软雅黑" w:eastAsia="微软雅黑" w:hAnsi="微软雅黑" w:cs="微软雅黑" w:hint="eastAsia"/>
          <w:sz w:val="20"/>
          <w:szCs w:val="20"/>
        </w:rPr>
        <w:t>类</w:t>
      </w:r>
    </w:p>
    <w:p w14:paraId="093498B3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便携：工控机、控制箱全部内置，可快速安装部</w:t>
      </w:r>
      <w:r>
        <w:rPr>
          <w:rFonts w:ascii="微软雅黑" w:eastAsia="微软雅黑" w:hAnsi="微软雅黑" w:cs="微软雅黑" w:hint="eastAsia"/>
          <w:sz w:val="20"/>
          <w:szCs w:val="20"/>
        </w:rPr>
        <w:t>署；支持</w:t>
      </w:r>
      <w:r>
        <w:rPr>
          <w:rFonts w:ascii="微软雅黑" w:eastAsia="微软雅黑" w:hAnsi="微软雅黑" w:cs="微软雅黑" w:hint="eastAsia"/>
          <w:sz w:val="20"/>
          <w:szCs w:val="20"/>
        </w:rPr>
        <w:t>220V</w:t>
      </w:r>
      <w:r>
        <w:rPr>
          <w:rFonts w:ascii="微软雅黑" w:eastAsia="微软雅黑" w:hAnsi="微软雅黑" w:cs="微软雅黑" w:hint="eastAsia"/>
          <w:sz w:val="20"/>
          <w:szCs w:val="20"/>
        </w:rPr>
        <w:t>市电供电和</w:t>
      </w:r>
      <w:r>
        <w:rPr>
          <w:rFonts w:ascii="微软雅黑" w:eastAsia="微软雅黑" w:hAnsi="微软雅黑" w:cs="微软雅黑" w:hint="eastAsia"/>
          <w:sz w:val="20"/>
          <w:szCs w:val="20"/>
        </w:rPr>
        <w:t>12v</w:t>
      </w:r>
      <w:r>
        <w:rPr>
          <w:rFonts w:ascii="微软雅黑" w:eastAsia="微软雅黑" w:hAnsi="微软雅黑" w:cs="微软雅黑" w:hint="eastAsia"/>
          <w:sz w:val="20"/>
          <w:szCs w:val="20"/>
        </w:rPr>
        <w:t>电池供电。</w:t>
      </w:r>
    </w:p>
    <w:p w14:paraId="41D2CB64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高频、高分辨率：数据分辨率更高，</w:t>
      </w:r>
      <w:r>
        <w:rPr>
          <w:rFonts w:ascii="微软雅黑" w:eastAsia="微软雅黑" w:hAnsi="微软雅黑" w:cs="微软雅黑" w:hint="eastAsia"/>
          <w:sz w:val="20"/>
          <w:szCs w:val="20"/>
        </w:rPr>
        <w:t>7.5m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sz w:val="20"/>
          <w:szCs w:val="20"/>
        </w:rPr>
        <w:t>15m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sz w:val="20"/>
          <w:szCs w:val="20"/>
        </w:rPr>
        <w:t>30m</w:t>
      </w:r>
      <w:r>
        <w:rPr>
          <w:rFonts w:ascii="微软雅黑" w:eastAsia="微软雅黑" w:hAnsi="微软雅黑" w:cs="微软雅黑" w:hint="eastAsia"/>
          <w:sz w:val="20"/>
          <w:szCs w:val="20"/>
        </w:rPr>
        <w:t>可调</w:t>
      </w:r>
      <w:r>
        <w:rPr>
          <w:rFonts w:ascii="微软雅黑" w:eastAsia="微软雅黑" w:hAnsi="微软雅黑" w:cs="微软雅黑" w:hint="eastAsia"/>
          <w:sz w:val="20"/>
          <w:szCs w:val="20"/>
        </w:rPr>
        <w:t>; 4kHz</w:t>
      </w:r>
      <w:r>
        <w:rPr>
          <w:rFonts w:ascii="微软雅黑" w:eastAsia="微软雅黑" w:hAnsi="微软雅黑" w:cs="微软雅黑" w:hint="eastAsia"/>
          <w:sz w:val="20"/>
          <w:szCs w:val="20"/>
        </w:rPr>
        <w:t>高频激光器。</w:t>
      </w:r>
    </w:p>
    <w:p w14:paraId="4ED1964A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户外防水：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体式成型，高度集成设计；</w:t>
      </w:r>
      <w:r>
        <w:rPr>
          <w:rFonts w:ascii="微软雅黑" w:eastAsia="微软雅黑" w:hAnsi="微软雅黑" w:cs="微软雅黑" w:hint="eastAsia"/>
          <w:sz w:val="20"/>
          <w:szCs w:val="20"/>
        </w:rPr>
        <w:t>IP65</w:t>
      </w:r>
      <w:r>
        <w:rPr>
          <w:rFonts w:ascii="微软雅黑" w:eastAsia="微软雅黑" w:hAnsi="微软雅黑" w:cs="微软雅黑" w:hint="eastAsia"/>
          <w:sz w:val="20"/>
          <w:szCs w:val="20"/>
        </w:rPr>
        <w:t>防水等级。</w:t>
      </w:r>
    </w:p>
    <w:p w14:paraId="597F825A" w14:textId="77777777" w:rsidR="00A32A50" w:rsidRDefault="00B5658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应用领域</w:t>
      </w:r>
    </w:p>
    <w:p w14:paraId="0BB89F00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城市污染分布监测</w:t>
      </w:r>
    </w:p>
    <w:p w14:paraId="44B8707B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环保执法取证</w:t>
      </w:r>
    </w:p>
    <w:p w14:paraId="72C00256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子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站数据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异常原因排查</w:t>
      </w:r>
    </w:p>
    <w:p w14:paraId="4B268D69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污染时效性治理</w:t>
      </w:r>
    </w:p>
    <w:p w14:paraId="210BCBD7" w14:textId="77777777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重大活动应急保障</w:t>
      </w:r>
    </w:p>
    <w:p w14:paraId="5C97B0A6" w14:textId="4BBEACC2" w:rsidR="00A32A50" w:rsidRDefault="00B5658A">
      <w:pPr>
        <w:widowControl/>
        <w:numPr>
          <w:ilvl w:val="0"/>
          <w:numId w:val="1"/>
        </w:numPr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站点选址</w:t>
      </w:r>
    </w:p>
    <w:p w14:paraId="16C11FBD" w14:textId="77777777" w:rsidR="002F5BD9" w:rsidRDefault="002F5BD9" w:rsidP="002F5BD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6CF65D26" w14:textId="7FBD8174" w:rsidR="002F5BD9" w:rsidRPr="002F5BD9" w:rsidRDefault="002F5BD9" w:rsidP="002F5BD9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 w:rsidRPr="002F5BD9">
        <w:rPr>
          <w:rFonts w:ascii="微软雅黑" w:eastAsia="微软雅黑" w:hAnsi="微软雅黑" w:cs="微软雅黑"/>
          <w:color w:val="0070C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F22852" wp14:editId="090AC614">
            <wp:simplePos x="0" y="0"/>
            <wp:positionH relativeFrom="column">
              <wp:posOffset>-55245</wp:posOffset>
            </wp:positionH>
            <wp:positionV relativeFrom="paragraph">
              <wp:posOffset>434340</wp:posOffset>
            </wp:positionV>
            <wp:extent cx="5278120" cy="1096645"/>
            <wp:effectExtent l="0" t="0" r="0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BD9">
        <w:rPr>
          <w:rFonts w:ascii="微软雅黑" w:eastAsia="微软雅黑" w:hAnsi="微软雅黑" w:cs="微软雅黑" w:hint="eastAsia"/>
          <w:color w:val="0070C0"/>
          <w:sz w:val="24"/>
          <w:szCs w:val="24"/>
        </w:rPr>
        <w:t>工作模式</w:t>
      </w:r>
    </w:p>
    <w:p w14:paraId="26470883" w14:textId="505248BE" w:rsidR="002F5BD9" w:rsidRDefault="002F5BD9" w:rsidP="002F5BD9">
      <w:pPr>
        <w:widowControl/>
        <w:spacing w:line="360" w:lineRule="exact"/>
        <w:ind w:firstLineChars="700" w:firstLine="1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 w:rsidRPr="002F5BD9"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468D63" wp14:editId="0F800C4A">
            <wp:simplePos x="0" y="0"/>
            <wp:positionH relativeFrom="column">
              <wp:posOffset>-36195</wp:posOffset>
            </wp:positionH>
            <wp:positionV relativeFrom="paragraph">
              <wp:posOffset>1396365</wp:posOffset>
            </wp:positionV>
            <wp:extent cx="5278120" cy="1503680"/>
            <wp:effectExtent l="0" t="0" r="0" b="127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走航扫描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sz w:val="20"/>
          <w:szCs w:val="20"/>
        </w:rPr>
        <w:t>锥形扫描</w:t>
      </w:r>
    </w:p>
    <w:p w14:paraId="3D32B7A5" w14:textId="1A5ADBDE" w:rsidR="002F5BD9" w:rsidRDefault="002F5BD9" w:rsidP="002F5BD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114B0EF2" w14:textId="77777777" w:rsidR="002F5BD9" w:rsidRPr="002F5BD9" w:rsidRDefault="002F5BD9" w:rsidP="002F5BD9">
      <w:pPr>
        <w:widowControl/>
        <w:spacing w:line="360" w:lineRule="exact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bookmarkStart w:id="0" w:name="_GoBack"/>
      <w:bookmarkEnd w:id="0"/>
    </w:p>
    <w:sectPr w:rsidR="002F5BD9" w:rsidRPr="002F5BD9">
      <w:headerReference w:type="default" r:id="rId11"/>
      <w:footerReference w:type="default" r:id="rId12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A64F" w14:textId="77777777" w:rsidR="00B5658A" w:rsidRDefault="00B5658A">
      <w:r>
        <w:separator/>
      </w:r>
    </w:p>
  </w:endnote>
  <w:endnote w:type="continuationSeparator" w:id="0">
    <w:p w14:paraId="5CA4BB75" w14:textId="77777777" w:rsidR="00B5658A" w:rsidRDefault="00B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0AA0" w14:textId="77777777" w:rsidR="00A32A50" w:rsidRDefault="00B5658A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55E993" wp14:editId="69EE7588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5862" w14:textId="77777777" w:rsidR="00B5658A" w:rsidRDefault="00B5658A">
      <w:r>
        <w:separator/>
      </w:r>
    </w:p>
  </w:footnote>
  <w:footnote w:type="continuationSeparator" w:id="0">
    <w:p w14:paraId="0C583501" w14:textId="77777777" w:rsidR="00B5658A" w:rsidRDefault="00B5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777E" w14:textId="77777777" w:rsidR="00A32A50" w:rsidRDefault="00B5658A">
    <w:r>
      <w:rPr>
        <w:noProof/>
      </w:rPr>
      <w:drawing>
        <wp:anchor distT="0" distB="0" distL="114300" distR="114300" simplePos="0" relativeHeight="251660288" behindDoc="0" locked="0" layoutInCell="1" allowOverlap="1" wp14:anchorId="50564133" wp14:editId="1810108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C1F7"/>
    <w:multiLevelType w:val="singleLevel"/>
    <w:tmpl w:val="1AC7C1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08"/>
    <w:rsid w:val="00172975"/>
    <w:rsid w:val="00290108"/>
    <w:rsid w:val="002B136F"/>
    <w:rsid w:val="002F5BD9"/>
    <w:rsid w:val="0036539B"/>
    <w:rsid w:val="0042643E"/>
    <w:rsid w:val="00531EC9"/>
    <w:rsid w:val="00730259"/>
    <w:rsid w:val="00A32A50"/>
    <w:rsid w:val="00B5658A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6207A8B"/>
    <w:rsid w:val="392E2379"/>
    <w:rsid w:val="39D44469"/>
    <w:rsid w:val="3F0F7301"/>
    <w:rsid w:val="3F58383E"/>
    <w:rsid w:val="41CB1A69"/>
    <w:rsid w:val="45720C84"/>
    <w:rsid w:val="45781606"/>
    <w:rsid w:val="4A88782A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237BEF"/>
  <w15:docId w15:val="{051F9049-C833-48DF-876A-D6E985DB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4</cp:revision>
  <dcterms:created xsi:type="dcterms:W3CDTF">2019-01-15T03:14:00Z</dcterms:created>
  <dcterms:modified xsi:type="dcterms:W3CDTF">2020-02-18T08:54:00Z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