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2CEDF" w14:textId="7CAFEC0A" w:rsidR="00957D42" w:rsidRDefault="001A36C7">
      <w:pPr>
        <w:spacing w:line="360" w:lineRule="exact"/>
        <w:jc w:val="left"/>
        <w:rPr>
          <w:rFonts w:ascii="微软雅黑" w:eastAsia="微软雅黑" w:hAnsi="微软雅黑" w:cs="微软雅黑"/>
          <w:b/>
          <w:color w:val="0070C0"/>
          <w:sz w:val="20"/>
          <w:szCs w:val="20"/>
        </w:rPr>
      </w:pPr>
      <w:r w:rsidRPr="00927F3D">
        <w:rPr>
          <w:rFonts w:ascii="微软雅黑" w:eastAsia="微软雅黑" w:hAnsi="微软雅黑" w:cs="微软雅黑"/>
          <w:noProof/>
          <w:sz w:val="20"/>
          <w:szCs w:val="20"/>
        </w:rPr>
        <w:drawing>
          <wp:anchor distT="0" distB="0" distL="114300" distR="114300" simplePos="0" relativeHeight="251663360" behindDoc="0" locked="0" layoutInCell="1" allowOverlap="1" wp14:anchorId="3B58AA73" wp14:editId="14317233">
            <wp:simplePos x="0" y="0"/>
            <wp:positionH relativeFrom="column">
              <wp:posOffset>1617980</wp:posOffset>
            </wp:positionH>
            <wp:positionV relativeFrom="paragraph">
              <wp:posOffset>26035</wp:posOffset>
            </wp:positionV>
            <wp:extent cx="1773555" cy="1349375"/>
            <wp:effectExtent l="0" t="0" r="0" b="317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3555" cy="134937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927F3D">
        <w:rPr>
          <w:rFonts w:ascii="微软雅黑" w:eastAsia="微软雅黑" w:hAnsi="微软雅黑" w:cs="微软雅黑"/>
          <w:noProof/>
          <w:sz w:val="20"/>
          <w:szCs w:val="20"/>
        </w:rPr>
        <w:drawing>
          <wp:anchor distT="0" distB="0" distL="114300" distR="114300" simplePos="0" relativeHeight="251657216" behindDoc="0" locked="0" layoutInCell="1" allowOverlap="1" wp14:anchorId="538FD7B1" wp14:editId="10084530">
            <wp:simplePos x="0" y="0"/>
            <wp:positionH relativeFrom="margin">
              <wp:posOffset>3422650</wp:posOffset>
            </wp:positionH>
            <wp:positionV relativeFrom="paragraph">
              <wp:posOffset>24765</wp:posOffset>
            </wp:positionV>
            <wp:extent cx="1852295" cy="1350645"/>
            <wp:effectExtent l="0" t="0" r="0" b="190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2295" cy="135064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03870460" w14:textId="7BB22776" w:rsidR="00957D42" w:rsidRDefault="00927F3D" w:rsidP="001A36C7">
      <w:pPr>
        <w:spacing w:line="360" w:lineRule="exact"/>
        <w:jc w:val="left"/>
        <w:rPr>
          <w:rFonts w:ascii="微软雅黑" w:eastAsia="微软雅黑" w:hAnsi="微软雅黑" w:cs="微软雅黑"/>
          <w:b/>
          <w:color w:val="0070C0"/>
          <w:sz w:val="28"/>
          <w:szCs w:val="28"/>
        </w:rPr>
      </w:pPr>
      <w:bookmarkStart w:id="0" w:name="_Toc15997"/>
      <w:r w:rsidRPr="00927F3D">
        <w:rPr>
          <w:rFonts w:ascii="微软雅黑" w:eastAsia="微软雅黑" w:hAnsi="微软雅黑" w:cs="微软雅黑" w:hint="eastAsia"/>
          <w:b/>
          <w:color w:val="0070C0"/>
          <w:sz w:val="28"/>
          <w:szCs w:val="28"/>
        </w:rPr>
        <w:t>GMP251/252系列二氧化碳传感</w:t>
      </w:r>
      <w:bookmarkEnd w:id="0"/>
      <w:r w:rsidR="00F95E29">
        <w:rPr>
          <w:rFonts w:ascii="微软雅黑" w:eastAsia="微软雅黑" w:hAnsi="微软雅黑" w:cs="微软雅黑" w:hint="eastAsia"/>
          <w:b/>
          <w:color w:val="0070C0"/>
          <w:sz w:val="28"/>
          <w:szCs w:val="28"/>
        </w:rPr>
        <w:t>器</w:t>
      </w:r>
    </w:p>
    <w:p w14:paraId="6DBF95AA" w14:textId="2948B2E2" w:rsidR="00957D42" w:rsidRDefault="00957D42">
      <w:pPr>
        <w:widowControl/>
        <w:shd w:val="clear" w:color="auto" w:fill="FFFFFF"/>
        <w:spacing w:line="360" w:lineRule="exact"/>
        <w:jc w:val="left"/>
        <w:rPr>
          <w:rFonts w:ascii="微软雅黑" w:eastAsia="微软雅黑" w:hAnsi="微软雅黑" w:cs="微软雅黑"/>
          <w:color w:val="000000"/>
          <w:kern w:val="0"/>
          <w:sz w:val="20"/>
          <w:szCs w:val="20"/>
          <w:shd w:val="clear" w:color="auto" w:fill="FFFFFF"/>
        </w:rPr>
      </w:pPr>
    </w:p>
    <w:p w14:paraId="7AF631E3" w14:textId="77777777" w:rsidR="00927F3D" w:rsidRPr="00927F3D" w:rsidRDefault="00927F3D" w:rsidP="00927F3D">
      <w:pPr>
        <w:widowControl/>
        <w:spacing w:line="360" w:lineRule="exact"/>
        <w:ind w:firstLineChars="200" w:firstLine="400"/>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GMP251/ GMP252二氧化碳探头是芬兰维萨拉生产第二代CARBOCAP?技术智能型探头。</w:t>
      </w:r>
    </w:p>
    <w:p w14:paraId="51E4C00F" w14:textId="77777777" w:rsidR="00927F3D" w:rsidRPr="00927F3D" w:rsidRDefault="00927F3D" w:rsidP="00927F3D">
      <w:pPr>
        <w:widowControl/>
        <w:spacing w:line="360" w:lineRule="exact"/>
        <w:ind w:firstLineChars="200" w:firstLine="400"/>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GMP251最适合于生命科学培养箱、冷库、水果与蔬菜运输，以及要求以百分位的精度来稳定且准确地测量二氧化碳的各种复杂应用环境。</w:t>
      </w:r>
    </w:p>
    <w:p w14:paraId="4FA8DD2F" w14:textId="77777777" w:rsidR="00927F3D" w:rsidRPr="00927F3D" w:rsidRDefault="00927F3D" w:rsidP="00927F3D">
      <w:pPr>
        <w:widowControl/>
        <w:spacing w:line="360" w:lineRule="exact"/>
        <w:ind w:firstLineChars="200" w:firstLine="400"/>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 xml:space="preserve">GMP252系列非常适合用于要求能够稳定和准确测量p </w:t>
      </w:r>
      <w:proofErr w:type="spellStart"/>
      <w:r w:rsidRPr="00927F3D">
        <w:rPr>
          <w:rFonts w:ascii="微软雅黑" w:eastAsia="微软雅黑" w:hAnsi="微软雅黑" w:cs="微软雅黑" w:hint="eastAsia"/>
          <w:sz w:val="20"/>
          <w:szCs w:val="20"/>
        </w:rPr>
        <w:t>p</w:t>
      </w:r>
      <w:proofErr w:type="spellEnd"/>
      <w:r w:rsidRPr="00927F3D">
        <w:rPr>
          <w:rFonts w:ascii="微软雅黑" w:eastAsia="微软雅黑" w:hAnsi="微软雅黑" w:cs="微软雅黑" w:hint="eastAsia"/>
          <w:sz w:val="20"/>
          <w:szCs w:val="20"/>
        </w:rPr>
        <w:t xml:space="preserve"> m级二氧化碳的农业、制冷、绿色温室大棚和要求较高的暖通空调等领域。</w:t>
      </w:r>
    </w:p>
    <w:p w14:paraId="6059F5E5" w14:textId="1E1CE4CE" w:rsidR="00927F3D" w:rsidRDefault="00927F3D" w:rsidP="00927F3D">
      <w:pPr>
        <w:widowControl/>
        <w:spacing w:line="360" w:lineRule="exact"/>
        <w:jc w:val="left"/>
        <w:rPr>
          <w:rFonts w:ascii="微软雅黑" w:eastAsia="微软雅黑" w:hAnsi="微软雅黑" w:cs="微软雅黑"/>
          <w:sz w:val="20"/>
          <w:szCs w:val="20"/>
        </w:rPr>
      </w:pPr>
    </w:p>
    <w:tbl>
      <w:tblPr>
        <w:tblpPr w:leftFromText="180" w:rightFromText="180" w:vertAnchor="text" w:tblpXSpec="center" w:tblpY="26"/>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3544"/>
        <w:gridCol w:w="3440"/>
      </w:tblGrid>
      <w:tr w:rsidR="00927F3D" w:rsidRPr="00927F3D" w14:paraId="12B65B95" w14:textId="77777777" w:rsidTr="001A36C7">
        <w:trPr>
          <w:cantSplit/>
          <w:trHeight w:val="270"/>
          <w:jc w:val="center"/>
        </w:trPr>
        <w:tc>
          <w:tcPr>
            <w:tcW w:w="8680" w:type="dxa"/>
            <w:gridSpan w:val="3"/>
            <w:noWrap/>
            <w:tcMar>
              <w:top w:w="15" w:type="dxa"/>
              <w:left w:w="15" w:type="dxa"/>
              <w:right w:w="15" w:type="dxa"/>
            </w:tcMar>
            <w:vAlign w:val="center"/>
          </w:tcPr>
          <w:p w14:paraId="069EBC9C" w14:textId="77777777" w:rsidR="00927F3D" w:rsidRPr="00927F3D" w:rsidRDefault="00927F3D" w:rsidP="00927F3D">
            <w:pPr>
              <w:widowControl/>
              <w:spacing w:line="360" w:lineRule="exact"/>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GMP251/252系列二氧化碳传感器-技术参数</w:t>
            </w:r>
          </w:p>
        </w:tc>
      </w:tr>
      <w:tr w:rsidR="00927F3D" w:rsidRPr="00927F3D" w14:paraId="5B54C636" w14:textId="77777777" w:rsidTr="001A36C7">
        <w:trPr>
          <w:cantSplit/>
          <w:trHeight w:val="270"/>
          <w:jc w:val="center"/>
        </w:trPr>
        <w:tc>
          <w:tcPr>
            <w:tcW w:w="1696" w:type="dxa"/>
            <w:noWrap/>
            <w:tcMar>
              <w:top w:w="15" w:type="dxa"/>
              <w:left w:w="15" w:type="dxa"/>
              <w:right w:w="15" w:type="dxa"/>
            </w:tcMar>
            <w:vAlign w:val="center"/>
          </w:tcPr>
          <w:p w14:paraId="78E40B5D" w14:textId="77777777" w:rsidR="00927F3D" w:rsidRPr="00927F3D" w:rsidRDefault="00927F3D" w:rsidP="00927F3D">
            <w:pPr>
              <w:widowControl/>
              <w:spacing w:line="360" w:lineRule="exact"/>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型号</w:t>
            </w:r>
          </w:p>
        </w:tc>
        <w:tc>
          <w:tcPr>
            <w:tcW w:w="3544" w:type="dxa"/>
            <w:noWrap/>
            <w:tcMar>
              <w:top w:w="15" w:type="dxa"/>
              <w:left w:w="15" w:type="dxa"/>
              <w:right w:w="15" w:type="dxa"/>
            </w:tcMar>
            <w:vAlign w:val="center"/>
          </w:tcPr>
          <w:p w14:paraId="5F94DD61" w14:textId="77777777" w:rsidR="00927F3D" w:rsidRPr="00927F3D" w:rsidRDefault="00927F3D" w:rsidP="00927F3D">
            <w:pPr>
              <w:widowControl/>
              <w:spacing w:line="360" w:lineRule="exact"/>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GMP251</w:t>
            </w:r>
          </w:p>
        </w:tc>
        <w:tc>
          <w:tcPr>
            <w:tcW w:w="3440" w:type="dxa"/>
            <w:noWrap/>
            <w:tcMar>
              <w:top w:w="15" w:type="dxa"/>
              <w:left w:w="15" w:type="dxa"/>
              <w:right w:w="15" w:type="dxa"/>
            </w:tcMar>
            <w:vAlign w:val="center"/>
          </w:tcPr>
          <w:p w14:paraId="6CFDAFF9" w14:textId="77777777" w:rsidR="00927F3D" w:rsidRPr="00927F3D" w:rsidRDefault="00927F3D" w:rsidP="00927F3D">
            <w:pPr>
              <w:widowControl/>
              <w:spacing w:line="360" w:lineRule="exact"/>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GMP252</w:t>
            </w:r>
          </w:p>
        </w:tc>
      </w:tr>
      <w:tr w:rsidR="00927F3D" w:rsidRPr="00927F3D" w14:paraId="53892B0F" w14:textId="77777777" w:rsidTr="001A36C7">
        <w:trPr>
          <w:cantSplit/>
          <w:trHeight w:val="270"/>
          <w:jc w:val="center"/>
        </w:trPr>
        <w:tc>
          <w:tcPr>
            <w:tcW w:w="1696" w:type="dxa"/>
            <w:noWrap/>
            <w:tcMar>
              <w:top w:w="15" w:type="dxa"/>
              <w:left w:w="15" w:type="dxa"/>
              <w:right w:w="15" w:type="dxa"/>
            </w:tcMar>
            <w:vAlign w:val="center"/>
          </w:tcPr>
          <w:p w14:paraId="5E44EF0A" w14:textId="77777777" w:rsidR="00927F3D" w:rsidRPr="00927F3D" w:rsidRDefault="00927F3D" w:rsidP="00927F3D">
            <w:pPr>
              <w:widowControl/>
              <w:spacing w:line="360" w:lineRule="exact"/>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测量范围</w:t>
            </w:r>
          </w:p>
        </w:tc>
        <w:tc>
          <w:tcPr>
            <w:tcW w:w="3544" w:type="dxa"/>
            <w:noWrap/>
            <w:tcMar>
              <w:top w:w="15" w:type="dxa"/>
              <w:left w:w="15" w:type="dxa"/>
              <w:right w:w="15" w:type="dxa"/>
            </w:tcMar>
            <w:vAlign w:val="center"/>
          </w:tcPr>
          <w:p w14:paraId="15934247" w14:textId="77777777" w:rsidR="00927F3D" w:rsidRPr="00927F3D" w:rsidRDefault="00927F3D" w:rsidP="00927F3D">
            <w:pPr>
              <w:widowControl/>
              <w:spacing w:line="360" w:lineRule="exact"/>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 xml:space="preserve">0-20% CO2 </w:t>
            </w:r>
          </w:p>
        </w:tc>
        <w:tc>
          <w:tcPr>
            <w:tcW w:w="3440" w:type="dxa"/>
            <w:noWrap/>
            <w:tcMar>
              <w:top w:w="15" w:type="dxa"/>
              <w:left w:w="15" w:type="dxa"/>
              <w:right w:w="15" w:type="dxa"/>
            </w:tcMar>
            <w:vAlign w:val="center"/>
          </w:tcPr>
          <w:p w14:paraId="4D6269FF" w14:textId="77777777" w:rsidR="00927F3D" w:rsidRPr="00927F3D" w:rsidRDefault="00927F3D" w:rsidP="00927F3D">
            <w:pPr>
              <w:widowControl/>
              <w:spacing w:line="360" w:lineRule="exact"/>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0-3% CO2</w:t>
            </w:r>
          </w:p>
        </w:tc>
      </w:tr>
      <w:tr w:rsidR="00927F3D" w:rsidRPr="00927F3D" w14:paraId="4AC81D02" w14:textId="77777777" w:rsidTr="001A36C7">
        <w:trPr>
          <w:cantSplit/>
          <w:trHeight w:val="270"/>
          <w:jc w:val="center"/>
        </w:trPr>
        <w:tc>
          <w:tcPr>
            <w:tcW w:w="1696" w:type="dxa"/>
            <w:noWrap/>
            <w:tcMar>
              <w:top w:w="15" w:type="dxa"/>
              <w:left w:w="15" w:type="dxa"/>
              <w:right w:w="15" w:type="dxa"/>
            </w:tcMar>
            <w:vAlign w:val="center"/>
          </w:tcPr>
          <w:p w14:paraId="5045CCF8" w14:textId="77777777" w:rsidR="00927F3D" w:rsidRPr="00927F3D" w:rsidRDefault="00927F3D" w:rsidP="00927F3D">
            <w:pPr>
              <w:widowControl/>
              <w:spacing w:line="360" w:lineRule="exact"/>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精    度</w:t>
            </w:r>
          </w:p>
        </w:tc>
        <w:tc>
          <w:tcPr>
            <w:tcW w:w="3544" w:type="dxa"/>
            <w:noWrap/>
            <w:tcMar>
              <w:top w:w="15" w:type="dxa"/>
              <w:left w:w="15" w:type="dxa"/>
              <w:right w:w="15" w:type="dxa"/>
            </w:tcMar>
            <w:vAlign w:val="center"/>
          </w:tcPr>
          <w:p w14:paraId="20D51CDD" w14:textId="77777777" w:rsidR="00927F3D" w:rsidRPr="00927F3D" w:rsidRDefault="00927F3D" w:rsidP="00927F3D">
            <w:pPr>
              <w:widowControl/>
              <w:spacing w:line="360" w:lineRule="exact"/>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±0.1%CO2 @5%-8%</w:t>
            </w:r>
          </w:p>
        </w:tc>
        <w:tc>
          <w:tcPr>
            <w:tcW w:w="3440" w:type="dxa"/>
            <w:noWrap/>
            <w:tcMar>
              <w:top w:w="15" w:type="dxa"/>
              <w:left w:w="15" w:type="dxa"/>
              <w:right w:w="15" w:type="dxa"/>
            </w:tcMar>
            <w:vAlign w:val="center"/>
          </w:tcPr>
          <w:p w14:paraId="2AC10ACD" w14:textId="77777777" w:rsidR="00927F3D" w:rsidRPr="00927F3D" w:rsidRDefault="00927F3D" w:rsidP="00927F3D">
            <w:pPr>
              <w:widowControl/>
              <w:spacing w:line="360" w:lineRule="exact"/>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0-3000ppmCO2@±40 ppm CO2</w:t>
            </w:r>
          </w:p>
        </w:tc>
      </w:tr>
      <w:tr w:rsidR="00927F3D" w:rsidRPr="00927F3D" w14:paraId="5F735011" w14:textId="77777777" w:rsidTr="001A36C7">
        <w:trPr>
          <w:cantSplit/>
          <w:trHeight w:val="270"/>
          <w:jc w:val="center"/>
        </w:trPr>
        <w:tc>
          <w:tcPr>
            <w:tcW w:w="1696" w:type="dxa"/>
            <w:noWrap/>
            <w:tcMar>
              <w:top w:w="15" w:type="dxa"/>
              <w:left w:w="15" w:type="dxa"/>
              <w:right w:w="15" w:type="dxa"/>
            </w:tcMar>
            <w:vAlign w:val="center"/>
          </w:tcPr>
          <w:p w14:paraId="7A0DBAF4" w14:textId="77777777" w:rsidR="00927F3D" w:rsidRPr="00927F3D" w:rsidRDefault="00927F3D" w:rsidP="00927F3D">
            <w:pPr>
              <w:widowControl/>
              <w:spacing w:line="360" w:lineRule="exact"/>
              <w:jc w:val="left"/>
              <w:rPr>
                <w:rFonts w:ascii="微软雅黑" w:eastAsia="微软雅黑" w:hAnsi="微软雅黑" w:cs="微软雅黑"/>
                <w:sz w:val="20"/>
                <w:szCs w:val="20"/>
              </w:rPr>
            </w:pPr>
          </w:p>
        </w:tc>
        <w:tc>
          <w:tcPr>
            <w:tcW w:w="3544" w:type="dxa"/>
            <w:noWrap/>
            <w:tcMar>
              <w:top w:w="15" w:type="dxa"/>
              <w:left w:w="15" w:type="dxa"/>
              <w:right w:w="15" w:type="dxa"/>
            </w:tcMar>
            <w:vAlign w:val="center"/>
          </w:tcPr>
          <w:p w14:paraId="7BCA0BB0" w14:textId="77777777" w:rsidR="00927F3D" w:rsidRPr="00927F3D" w:rsidRDefault="00927F3D" w:rsidP="00927F3D">
            <w:pPr>
              <w:widowControl/>
              <w:spacing w:line="360" w:lineRule="exact"/>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±0.2 %CO2 @5%-8%</w:t>
            </w:r>
          </w:p>
        </w:tc>
        <w:tc>
          <w:tcPr>
            <w:tcW w:w="3440" w:type="dxa"/>
            <w:noWrap/>
            <w:tcMar>
              <w:top w:w="15" w:type="dxa"/>
              <w:left w:w="15" w:type="dxa"/>
              <w:right w:w="15" w:type="dxa"/>
            </w:tcMar>
            <w:vAlign w:val="center"/>
          </w:tcPr>
          <w:p w14:paraId="112F5241" w14:textId="77777777" w:rsidR="00927F3D" w:rsidRPr="00927F3D" w:rsidRDefault="00927F3D" w:rsidP="00927F3D">
            <w:pPr>
              <w:widowControl/>
              <w:spacing w:line="360" w:lineRule="exact"/>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3000-10000ppmCO2@±2% CO2</w:t>
            </w:r>
          </w:p>
        </w:tc>
      </w:tr>
      <w:tr w:rsidR="00927F3D" w:rsidRPr="00927F3D" w14:paraId="40795CCC" w14:textId="77777777" w:rsidTr="001A36C7">
        <w:trPr>
          <w:cantSplit/>
          <w:trHeight w:val="270"/>
          <w:jc w:val="center"/>
        </w:trPr>
        <w:tc>
          <w:tcPr>
            <w:tcW w:w="1696" w:type="dxa"/>
            <w:noWrap/>
            <w:tcMar>
              <w:top w:w="15" w:type="dxa"/>
              <w:left w:w="15" w:type="dxa"/>
              <w:right w:w="15" w:type="dxa"/>
            </w:tcMar>
            <w:vAlign w:val="center"/>
          </w:tcPr>
          <w:p w14:paraId="65D38ED0" w14:textId="77777777" w:rsidR="00927F3D" w:rsidRPr="00927F3D" w:rsidRDefault="00927F3D" w:rsidP="00927F3D">
            <w:pPr>
              <w:widowControl/>
              <w:spacing w:line="360" w:lineRule="exact"/>
              <w:jc w:val="left"/>
              <w:rPr>
                <w:rFonts w:ascii="微软雅黑" w:eastAsia="微软雅黑" w:hAnsi="微软雅黑" w:cs="微软雅黑"/>
                <w:sz w:val="20"/>
                <w:szCs w:val="20"/>
              </w:rPr>
            </w:pPr>
          </w:p>
        </w:tc>
        <w:tc>
          <w:tcPr>
            <w:tcW w:w="3544" w:type="dxa"/>
            <w:noWrap/>
            <w:tcMar>
              <w:top w:w="15" w:type="dxa"/>
              <w:left w:w="15" w:type="dxa"/>
              <w:right w:w="15" w:type="dxa"/>
            </w:tcMar>
            <w:vAlign w:val="center"/>
          </w:tcPr>
          <w:p w14:paraId="001ABE53" w14:textId="77777777" w:rsidR="00927F3D" w:rsidRPr="00927F3D" w:rsidRDefault="00927F3D" w:rsidP="00927F3D">
            <w:pPr>
              <w:widowControl/>
              <w:spacing w:line="360" w:lineRule="exact"/>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±0.4 %CO2 @8%-20%</w:t>
            </w:r>
          </w:p>
        </w:tc>
        <w:tc>
          <w:tcPr>
            <w:tcW w:w="3440" w:type="dxa"/>
            <w:noWrap/>
            <w:tcMar>
              <w:top w:w="15" w:type="dxa"/>
              <w:left w:w="15" w:type="dxa"/>
              <w:right w:w="15" w:type="dxa"/>
            </w:tcMar>
            <w:vAlign w:val="center"/>
          </w:tcPr>
          <w:p w14:paraId="1D0413D4" w14:textId="77777777" w:rsidR="00927F3D" w:rsidRPr="00927F3D" w:rsidRDefault="00927F3D" w:rsidP="00927F3D">
            <w:pPr>
              <w:widowControl/>
              <w:spacing w:line="360" w:lineRule="exact"/>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10000-30000ppmCO2@±3.5%CO2</w:t>
            </w:r>
          </w:p>
        </w:tc>
      </w:tr>
      <w:tr w:rsidR="00927F3D" w:rsidRPr="00927F3D" w14:paraId="2234D437" w14:textId="77777777" w:rsidTr="001A36C7">
        <w:trPr>
          <w:cantSplit/>
          <w:trHeight w:val="270"/>
          <w:jc w:val="center"/>
        </w:trPr>
        <w:tc>
          <w:tcPr>
            <w:tcW w:w="1696" w:type="dxa"/>
            <w:noWrap/>
            <w:tcMar>
              <w:top w:w="15" w:type="dxa"/>
              <w:left w:w="15" w:type="dxa"/>
              <w:right w:w="15" w:type="dxa"/>
            </w:tcMar>
            <w:vAlign w:val="center"/>
          </w:tcPr>
          <w:p w14:paraId="0AE9C97E" w14:textId="77777777" w:rsidR="00927F3D" w:rsidRPr="00927F3D" w:rsidRDefault="00927F3D" w:rsidP="00927F3D">
            <w:pPr>
              <w:widowControl/>
              <w:spacing w:line="360" w:lineRule="exact"/>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响应时间</w:t>
            </w:r>
          </w:p>
        </w:tc>
        <w:tc>
          <w:tcPr>
            <w:tcW w:w="3544" w:type="dxa"/>
            <w:noWrap/>
            <w:tcMar>
              <w:top w:w="15" w:type="dxa"/>
              <w:left w:w="15" w:type="dxa"/>
              <w:right w:w="15" w:type="dxa"/>
            </w:tcMar>
            <w:vAlign w:val="center"/>
          </w:tcPr>
          <w:p w14:paraId="45E38FE9" w14:textId="77777777" w:rsidR="00927F3D" w:rsidRPr="00927F3D" w:rsidRDefault="00927F3D" w:rsidP="00927F3D">
            <w:pPr>
              <w:widowControl/>
              <w:spacing w:line="360" w:lineRule="exact"/>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&lt; 1 分钟</w:t>
            </w:r>
          </w:p>
        </w:tc>
        <w:tc>
          <w:tcPr>
            <w:tcW w:w="3440" w:type="dxa"/>
            <w:noWrap/>
            <w:tcMar>
              <w:top w:w="15" w:type="dxa"/>
              <w:left w:w="15" w:type="dxa"/>
              <w:right w:w="15" w:type="dxa"/>
            </w:tcMar>
            <w:vAlign w:val="center"/>
          </w:tcPr>
          <w:p w14:paraId="4614ACC5" w14:textId="77777777" w:rsidR="00927F3D" w:rsidRPr="00927F3D" w:rsidRDefault="00927F3D" w:rsidP="00927F3D">
            <w:pPr>
              <w:widowControl/>
              <w:spacing w:line="360" w:lineRule="exact"/>
              <w:jc w:val="left"/>
              <w:rPr>
                <w:rFonts w:ascii="微软雅黑" w:eastAsia="微软雅黑" w:hAnsi="微软雅黑" w:cs="微软雅黑"/>
                <w:sz w:val="20"/>
                <w:szCs w:val="20"/>
              </w:rPr>
            </w:pPr>
          </w:p>
        </w:tc>
      </w:tr>
      <w:tr w:rsidR="00927F3D" w:rsidRPr="00927F3D" w14:paraId="3671832E" w14:textId="77777777" w:rsidTr="001A36C7">
        <w:trPr>
          <w:cantSplit/>
          <w:trHeight w:val="270"/>
          <w:jc w:val="center"/>
        </w:trPr>
        <w:tc>
          <w:tcPr>
            <w:tcW w:w="1696" w:type="dxa"/>
            <w:noWrap/>
            <w:tcMar>
              <w:top w:w="15" w:type="dxa"/>
              <w:left w:w="15" w:type="dxa"/>
              <w:right w:w="15" w:type="dxa"/>
            </w:tcMar>
            <w:vAlign w:val="center"/>
          </w:tcPr>
          <w:p w14:paraId="5FBE02DE" w14:textId="77777777" w:rsidR="00927F3D" w:rsidRPr="00927F3D" w:rsidRDefault="00927F3D" w:rsidP="00927F3D">
            <w:pPr>
              <w:widowControl/>
              <w:spacing w:line="360" w:lineRule="exact"/>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工作环境</w:t>
            </w:r>
          </w:p>
        </w:tc>
        <w:tc>
          <w:tcPr>
            <w:tcW w:w="3544" w:type="dxa"/>
            <w:noWrap/>
            <w:tcMar>
              <w:top w:w="15" w:type="dxa"/>
              <w:left w:w="15" w:type="dxa"/>
              <w:right w:w="15" w:type="dxa"/>
            </w:tcMar>
            <w:vAlign w:val="center"/>
          </w:tcPr>
          <w:p w14:paraId="1780E407" w14:textId="77777777" w:rsidR="00927F3D" w:rsidRPr="00927F3D" w:rsidRDefault="00927F3D" w:rsidP="00927F3D">
            <w:pPr>
              <w:widowControl/>
              <w:spacing w:line="360" w:lineRule="exact"/>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温度：-40 至+60 °C；湿度：0-100%无冷凝</w:t>
            </w:r>
          </w:p>
        </w:tc>
        <w:tc>
          <w:tcPr>
            <w:tcW w:w="3440" w:type="dxa"/>
            <w:noWrap/>
            <w:tcMar>
              <w:top w:w="15" w:type="dxa"/>
              <w:left w:w="15" w:type="dxa"/>
              <w:right w:w="15" w:type="dxa"/>
            </w:tcMar>
            <w:vAlign w:val="center"/>
          </w:tcPr>
          <w:p w14:paraId="46B8B12A" w14:textId="77777777" w:rsidR="00927F3D" w:rsidRPr="00927F3D" w:rsidRDefault="00927F3D" w:rsidP="00927F3D">
            <w:pPr>
              <w:widowControl/>
              <w:spacing w:line="360" w:lineRule="exact"/>
              <w:jc w:val="left"/>
              <w:rPr>
                <w:rFonts w:ascii="微软雅黑" w:eastAsia="微软雅黑" w:hAnsi="微软雅黑" w:cs="微软雅黑"/>
                <w:sz w:val="20"/>
                <w:szCs w:val="20"/>
              </w:rPr>
            </w:pPr>
          </w:p>
        </w:tc>
      </w:tr>
      <w:tr w:rsidR="00927F3D" w:rsidRPr="00927F3D" w14:paraId="46BA543D" w14:textId="77777777" w:rsidTr="001A36C7">
        <w:trPr>
          <w:cantSplit/>
          <w:trHeight w:val="270"/>
          <w:jc w:val="center"/>
        </w:trPr>
        <w:tc>
          <w:tcPr>
            <w:tcW w:w="1696" w:type="dxa"/>
            <w:noWrap/>
            <w:tcMar>
              <w:top w:w="15" w:type="dxa"/>
              <w:left w:w="15" w:type="dxa"/>
              <w:right w:w="15" w:type="dxa"/>
            </w:tcMar>
            <w:vAlign w:val="center"/>
          </w:tcPr>
          <w:p w14:paraId="3BC25D45" w14:textId="77777777" w:rsidR="00927F3D" w:rsidRPr="00927F3D" w:rsidRDefault="00927F3D" w:rsidP="00927F3D">
            <w:pPr>
              <w:widowControl/>
              <w:spacing w:line="360" w:lineRule="exact"/>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信号输出</w:t>
            </w:r>
          </w:p>
        </w:tc>
        <w:tc>
          <w:tcPr>
            <w:tcW w:w="3544" w:type="dxa"/>
            <w:noWrap/>
            <w:tcMar>
              <w:top w:w="15" w:type="dxa"/>
              <w:left w:w="15" w:type="dxa"/>
              <w:right w:w="15" w:type="dxa"/>
            </w:tcMar>
            <w:vAlign w:val="center"/>
          </w:tcPr>
          <w:p w14:paraId="2A80E693" w14:textId="77777777" w:rsidR="00927F3D" w:rsidRPr="00927F3D" w:rsidRDefault="00927F3D" w:rsidP="00927F3D">
            <w:pPr>
              <w:widowControl/>
              <w:spacing w:line="360" w:lineRule="exact"/>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RS485，Modbus；0-5/10Vdc（扩展）；4-20mA（扩展）</w:t>
            </w:r>
          </w:p>
        </w:tc>
        <w:tc>
          <w:tcPr>
            <w:tcW w:w="3440" w:type="dxa"/>
            <w:noWrap/>
            <w:tcMar>
              <w:top w:w="15" w:type="dxa"/>
              <w:left w:w="15" w:type="dxa"/>
              <w:right w:w="15" w:type="dxa"/>
            </w:tcMar>
            <w:vAlign w:val="center"/>
          </w:tcPr>
          <w:p w14:paraId="2E1A6C52" w14:textId="77777777" w:rsidR="00927F3D" w:rsidRPr="00927F3D" w:rsidRDefault="00927F3D" w:rsidP="00927F3D">
            <w:pPr>
              <w:widowControl/>
              <w:spacing w:line="360" w:lineRule="exact"/>
              <w:jc w:val="left"/>
              <w:rPr>
                <w:rFonts w:ascii="微软雅黑" w:eastAsia="微软雅黑" w:hAnsi="微软雅黑" w:cs="微软雅黑"/>
                <w:sz w:val="20"/>
                <w:szCs w:val="20"/>
              </w:rPr>
            </w:pPr>
          </w:p>
        </w:tc>
      </w:tr>
      <w:tr w:rsidR="00927F3D" w:rsidRPr="00927F3D" w14:paraId="481927FF" w14:textId="77777777" w:rsidTr="001A36C7">
        <w:trPr>
          <w:cantSplit/>
          <w:trHeight w:val="6043"/>
          <w:jc w:val="center"/>
        </w:trPr>
        <w:tc>
          <w:tcPr>
            <w:tcW w:w="1696" w:type="dxa"/>
            <w:noWrap/>
            <w:tcMar>
              <w:top w:w="15" w:type="dxa"/>
              <w:left w:w="15" w:type="dxa"/>
              <w:right w:w="15" w:type="dxa"/>
            </w:tcMar>
            <w:vAlign w:val="center"/>
          </w:tcPr>
          <w:p w14:paraId="753E88D1" w14:textId="77777777" w:rsidR="00927F3D" w:rsidRPr="00927F3D" w:rsidRDefault="00927F3D" w:rsidP="00927F3D">
            <w:pPr>
              <w:widowControl/>
              <w:spacing w:line="360" w:lineRule="exact"/>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lastRenderedPageBreak/>
              <w:t>选配备件</w:t>
            </w:r>
          </w:p>
        </w:tc>
        <w:tc>
          <w:tcPr>
            <w:tcW w:w="3544" w:type="dxa"/>
            <w:tcMar>
              <w:top w:w="15" w:type="dxa"/>
              <w:left w:w="15" w:type="dxa"/>
              <w:right w:w="15" w:type="dxa"/>
            </w:tcMar>
            <w:vAlign w:val="center"/>
          </w:tcPr>
          <w:p w14:paraId="7B139FE6" w14:textId="77777777" w:rsidR="00927F3D" w:rsidRPr="00927F3D" w:rsidRDefault="00927F3D" w:rsidP="00927F3D">
            <w:pPr>
              <w:widowControl/>
              <w:spacing w:line="360" w:lineRule="exact"/>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标准薄膜过滤器ASM211650SP</w:t>
            </w:r>
            <w:r w:rsidRPr="00927F3D">
              <w:rPr>
                <w:rFonts w:ascii="微软雅黑" w:eastAsia="微软雅黑" w:hAnsi="微软雅黑" w:cs="微软雅黑" w:hint="eastAsia"/>
                <w:sz w:val="20"/>
                <w:szCs w:val="20"/>
              </w:rPr>
              <w:br/>
              <w:t>多孔烧结聚四氟乙烯过滤器,提供</w:t>
            </w:r>
            <w:proofErr w:type="gramStart"/>
            <w:r w:rsidRPr="00927F3D">
              <w:rPr>
                <w:rFonts w:ascii="微软雅黑" w:eastAsia="微软雅黑" w:hAnsi="微软雅黑" w:cs="微软雅黑" w:hint="eastAsia"/>
                <w:sz w:val="20"/>
                <w:szCs w:val="20"/>
              </w:rPr>
              <w:t>更多保障</w:t>
            </w:r>
            <w:proofErr w:type="gramEnd"/>
            <w:r w:rsidRPr="00927F3D">
              <w:rPr>
                <w:rFonts w:ascii="微软雅黑" w:eastAsia="微软雅黑" w:hAnsi="微软雅黑" w:cs="微软雅黑" w:hint="eastAsia"/>
                <w:sz w:val="20"/>
                <w:szCs w:val="20"/>
              </w:rPr>
              <w:t>DRW243649SP</w:t>
            </w:r>
            <w:r w:rsidRPr="00927F3D">
              <w:rPr>
                <w:rFonts w:ascii="微软雅黑" w:eastAsia="微软雅黑" w:hAnsi="微软雅黑" w:cs="微软雅黑" w:hint="eastAsia"/>
                <w:sz w:val="20"/>
                <w:szCs w:val="20"/>
              </w:rPr>
              <w:br/>
              <w:t>有导气孔的气流适配器ASM211697SP</w:t>
            </w:r>
            <w:r w:rsidRPr="00927F3D">
              <w:rPr>
                <w:rFonts w:ascii="微软雅黑" w:eastAsia="微软雅黑" w:hAnsi="微软雅黑" w:cs="微软雅黑" w:hint="eastAsia"/>
                <w:sz w:val="20"/>
                <w:szCs w:val="20"/>
              </w:rPr>
              <w:br/>
              <w:t>配有散线的探头线缆（1.5米） 223263SP</w:t>
            </w:r>
            <w:r w:rsidRPr="00927F3D">
              <w:rPr>
                <w:rFonts w:ascii="微软雅黑" w:eastAsia="微软雅黑" w:hAnsi="微软雅黑" w:cs="微软雅黑" w:hint="eastAsia"/>
                <w:sz w:val="20"/>
                <w:szCs w:val="20"/>
              </w:rPr>
              <w:br/>
              <w:t>配有散线和90度直角插头的探头线缆（0.6米） 244669SP</w:t>
            </w:r>
            <w:r w:rsidRPr="00927F3D">
              <w:rPr>
                <w:rFonts w:ascii="微软雅黑" w:eastAsia="微软雅黑" w:hAnsi="微软雅黑" w:cs="微软雅黑" w:hint="eastAsia"/>
                <w:sz w:val="20"/>
                <w:szCs w:val="20"/>
              </w:rPr>
              <w:br/>
              <w:t>配有散线的探头线缆（10米） 216546SP</w:t>
            </w:r>
            <w:r w:rsidRPr="00927F3D">
              <w:rPr>
                <w:rFonts w:ascii="微软雅黑" w:eastAsia="微软雅黑" w:hAnsi="微软雅黑" w:cs="微软雅黑" w:hint="eastAsia"/>
                <w:sz w:val="20"/>
                <w:szCs w:val="20"/>
              </w:rPr>
              <w:br/>
              <w:t>探头安装支架（2个） 243257SP</w:t>
            </w:r>
            <w:r w:rsidRPr="00927F3D">
              <w:rPr>
                <w:rFonts w:ascii="微软雅黑" w:eastAsia="微软雅黑" w:hAnsi="微软雅黑" w:cs="微软雅黑" w:hint="eastAsia"/>
                <w:sz w:val="20"/>
                <w:szCs w:val="20"/>
              </w:rPr>
              <w:br/>
              <w:t>探头安装法兰243261SP</w:t>
            </w:r>
            <w:r w:rsidRPr="00927F3D">
              <w:rPr>
                <w:rFonts w:ascii="微软雅黑" w:eastAsia="微软雅黑" w:hAnsi="微软雅黑" w:cs="微软雅黑" w:hint="eastAsia"/>
                <w:sz w:val="20"/>
                <w:szCs w:val="20"/>
              </w:rPr>
              <w:br/>
              <w:t>用于连接电脑的USB线242659</w:t>
            </w:r>
            <w:r w:rsidRPr="00927F3D">
              <w:rPr>
                <w:rFonts w:ascii="微软雅黑" w:eastAsia="微软雅黑" w:hAnsi="微软雅黑" w:cs="微软雅黑" w:hint="eastAsia"/>
                <w:sz w:val="20"/>
                <w:szCs w:val="20"/>
              </w:rPr>
              <w:br/>
              <w:t>探头配备的M170连接</w:t>
            </w:r>
            <w:bookmarkStart w:id="1" w:name="_GoBack"/>
            <w:bookmarkEnd w:id="1"/>
            <w:r w:rsidRPr="00927F3D">
              <w:rPr>
                <w:rFonts w:ascii="微软雅黑" w:eastAsia="微软雅黑" w:hAnsi="微软雅黑" w:cs="微软雅黑" w:hint="eastAsia"/>
                <w:sz w:val="20"/>
                <w:szCs w:val="20"/>
              </w:rPr>
              <w:t>电缆CBL210472</w:t>
            </w:r>
            <w:r w:rsidRPr="00927F3D">
              <w:rPr>
                <w:rFonts w:ascii="微软雅黑" w:eastAsia="微软雅黑" w:hAnsi="微软雅黑" w:cs="微软雅黑" w:hint="eastAsia"/>
                <w:sz w:val="20"/>
                <w:szCs w:val="20"/>
              </w:rPr>
              <w:br/>
              <w:t>扁平电缆CBL210493SP</w:t>
            </w:r>
            <w:r w:rsidRPr="00927F3D">
              <w:rPr>
                <w:rFonts w:ascii="微软雅黑" w:eastAsia="微软雅黑" w:hAnsi="微软雅黑" w:cs="微软雅黑" w:hint="eastAsia"/>
                <w:sz w:val="20"/>
                <w:szCs w:val="20"/>
              </w:rPr>
              <w:br/>
              <w:t>校验用适配器DRW244827SP</w:t>
            </w:r>
          </w:p>
        </w:tc>
        <w:tc>
          <w:tcPr>
            <w:tcW w:w="3440" w:type="dxa"/>
            <w:tcMar>
              <w:top w:w="15" w:type="dxa"/>
              <w:left w:w="15" w:type="dxa"/>
              <w:right w:w="15" w:type="dxa"/>
            </w:tcMar>
            <w:vAlign w:val="center"/>
          </w:tcPr>
          <w:p w14:paraId="3AEA4300" w14:textId="77777777" w:rsidR="00927F3D" w:rsidRPr="00927F3D" w:rsidRDefault="00927F3D" w:rsidP="00927F3D">
            <w:pPr>
              <w:widowControl/>
              <w:spacing w:line="360" w:lineRule="exact"/>
              <w:jc w:val="left"/>
              <w:rPr>
                <w:rFonts w:ascii="微软雅黑" w:eastAsia="微软雅黑" w:hAnsi="微软雅黑" w:cs="微软雅黑"/>
                <w:sz w:val="20"/>
                <w:szCs w:val="20"/>
              </w:rPr>
            </w:pPr>
            <w:r w:rsidRPr="00927F3D">
              <w:rPr>
                <w:rFonts w:ascii="微软雅黑" w:eastAsia="微软雅黑" w:hAnsi="微软雅黑" w:cs="微软雅黑" w:hint="eastAsia"/>
                <w:sz w:val="20"/>
                <w:szCs w:val="20"/>
              </w:rPr>
              <w:t>多孔烧结式聚四氟乙烯过滤网DRW244221SP</w:t>
            </w:r>
            <w:r w:rsidRPr="00927F3D">
              <w:rPr>
                <w:rFonts w:ascii="微软雅黑" w:eastAsia="微软雅黑" w:hAnsi="微软雅黑" w:cs="微软雅黑" w:hint="eastAsia"/>
                <w:sz w:val="20"/>
                <w:szCs w:val="20"/>
              </w:rPr>
              <w:br/>
              <w:t>传感器电缆，带有开口接线（1.5 m） 223263SP</w:t>
            </w:r>
            <w:r w:rsidRPr="00927F3D">
              <w:rPr>
                <w:rFonts w:ascii="微软雅黑" w:eastAsia="微软雅黑" w:hAnsi="微软雅黑" w:cs="微软雅黑" w:hint="eastAsia"/>
                <w:sz w:val="20"/>
                <w:szCs w:val="20"/>
              </w:rPr>
              <w:br/>
              <w:t>传感器电缆，带有开口接线和90°插头（0.6 m） 244669SP</w:t>
            </w:r>
            <w:r w:rsidRPr="00927F3D">
              <w:rPr>
                <w:rFonts w:ascii="微软雅黑" w:eastAsia="微软雅黑" w:hAnsi="微软雅黑" w:cs="微软雅黑" w:hint="eastAsia"/>
                <w:sz w:val="20"/>
                <w:szCs w:val="20"/>
              </w:rPr>
              <w:br/>
              <w:t>传感器电缆，带有开口接线（10 m） 216546SP</w:t>
            </w:r>
            <w:r w:rsidRPr="00927F3D">
              <w:rPr>
                <w:rFonts w:ascii="微软雅黑" w:eastAsia="微软雅黑" w:hAnsi="微软雅黑" w:cs="微软雅黑" w:hint="eastAsia"/>
                <w:sz w:val="20"/>
                <w:szCs w:val="20"/>
              </w:rPr>
              <w:br/>
              <w:t>传感器装配夹（2个） 243257SP</w:t>
            </w:r>
            <w:r w:rsidRPr="00927F3D">
              <w:rPr>
                <w:rFonts w:ascii="微软雅黑" w:eastAsia="微软雅黑" w:hAnsi="微软雅黑" w:cs="微软雅黑" w:hint="eastAsia"/>
                <w:sz w:val="20"/>
                <w:szCs w:val="20"/>
              </w:rPr>
              <w:br/>
              <w:t>传感器安装用法兰243261SP</w:t>
            </w:r>
            <w:r w:rsidRPr="00927F3D">
              <w:rPr>
                <w:rFonts w:ascii="微软雅黑" w:eastAsia="微软雅黑" w:hAnsi="微软雅黑" w:cs="微软雅黑" w:hint="eastAsia"/>
                <w:sz w:val="20"/>
                <w:szCs w:val="20"/>
              </w:rPr>
              <w:br/>
              <w:t>电脑连接用USB连接线242659</w:t>
            </w:r>
            <w:r w:rsidRPr="00927F3D">
              <w:rPr>
                <w:rFonts w:ascii="微软雅黑" w:eastAsia="微软雅黑" w:hAnsi="微软雅黑" w:cs="微软雅黑" w:hint="eastAsia"/>
                <w:sz w:val="20"/>
                <w:szCs w:val="20"/>
              </w:rPr>
              <w:br/>
              <w:t>传感器MI70连接电缆CBL210472</w:t>
            </w:r>
            <w:r w:rsidRPr="00927F3D">
              <w:rPr>
                <w:rFonts w:ascii="微软雅黑" w:eastAsia="微软雅黑" w:hAnsi="微软雅黑" w:cs="微软雅黑" w:hint="eastAsia"/>
                <w:sz w:val="20"/>
                <w:szCs w:val="20"/>
              </w:rPr>
              <w:br/>
              <w:t>扁平电缆CBL210493SP</w:t>
            </w:r>
            <w:r w:rsidRPr="00927F3D">
              <w:rPr>
                <w:rFonts w:ascii="微软雅黑" w:eastAsia="微软雅黑" w:hAnsi="微软雅黑" w:cs="微软雅黑" w:hint="eastAsia"/>
                <w:sz w:val="20"/>
                <w:szCs w:val="20"/>
              </w:rPr>
              <w:br/>
              <w:t>标定适配器DRW244827SP</w:t>
            </w:r>
          </w:p>
        </w:tc>
      </w:tr>
    </w:tbl>
    <w:p w14:paraId="55826663" w14:textId="77777777" w:rsidR="00927F3D" w:rsidRPr="00927F3D" w:rsidRDefault="00927F3D" w:rsidP="00927F3D">
      <w:pPr>
        <w:widowControl/>
        <w:spacing w:line="360" w:lineRule="exact"/>
        <w:jc w:val="left"/>
        <w:rPr>
          <w:rFonts w:ascii="微软雅黑" w:eastAsia="微软雅黑" w:hAnsi="微软雅黑" w:cs="微软雅黑"/>
          <w:sz w:val="20"/>
          <w:szCs w:val="20"/>
        </w:rPr>
      </w:pPr>
    </w:p>
    <w:p w14:paraId="5B36D0FC" w14:textId="60FC3F11" w:rsidR="00927F3D" w:rsidRDefault="00927F3D" w:rsidP="00927F3D">
      <w:pPr>
        <w:widowControl/>
        <w:spacing w:line="360" w:lineRule="exact"/>
        <w:ind w:firstLineChars="200" w:firstLine="400"/>
        <w:jc w:val="left"/>
        <w:rPr>
          <w:rFonts w:ascii="微软雅黑" w:eastAsia="微软雅黑" w:hAnsi="微软雅黑" w:cs="微软雅黑"/>
          <w:sz w:val="20"/>
          <w:szCs w:val="20"/>
        </w:rPr>
      </w:pPr>
    </w:p>
    <w:sectPr w:rsidR="00927F3D">
      <w:headerReference w:type="default" r:id="rId10"/>
      <w:footerReference w:type="default" r:id="rId11"/>
      <w:pgSz w:w="11906" w:h="16838"/>
      <w:pgMar w:top="1701" w:right="1797" w:bottom="1985"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8BA06" w14:textId="77777777" w:rsidR="00D2421E" w:rsidRDefault="00D2421E">
      <w:r>
        <w:separator/>
      </w:r>
    </w:p>
  </w:endnote>
  <w:endnote w:type="continuationSeparator" w:id="0">
    <w:p w14:paraId="1811269D" w14:textId="77777777" w:rsidR="00D2421E" w:rsidRDefault="00D2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DA74B" w14:textId="77777777" w:rsidR="00957D42" w:rsidRDefault="00F95E29">
    <w:pPr>
      <w:pStyle w:val="a5"/>
    </w:pPr>
    <w:r>
      <w:rPr>
        <w:noProof/>
      </w:rPr>
      <w:drawing>
        <wp:anchor distT="0" distB="0" distL="114300" distR="114300" simplePos="0" relativeHeight="251661312" behindDoc="0" locked="0" layoutInCell="1" allowOverlap="1" wp14:anchorId="4AC8EE6A" wp14:editId="196F33C6">
          <wp:simplePos x="0" y="0"/>
          <wp:positionH relativeFrom="page">
            <wp:posOffset>-38100</wp:posOffset>
          </wp:positionH>
          <wp:positionV relativeFrom="paragraph">
            <wp:posOffset>-270510</wp:posOffset>
          </wp:positionV>
          <wp:extent cx="7712075" cy="1104265"/>
          <wp:effectExtent l="0" t="0" r="3175" b="63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12075" cy="11042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8F216" w14:textId="77777777" w:rsidR="00D2421E" w:rsidRDefault="00D2421E">
      <w:r>
        <w:separator/>
      </w:r>
    </w:p>
  </w:footnote>
  <w:footnote w:type="continuationSeparator" w:id="0">
    <w:p w14:paraId="2F497FD4" w14:textId="77777777" w:rsidR="00D2421E" w:rsidRDefault="00D24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54C6F" w14:textId="77777777" w:rsidR="00957D42" w:rsidRDefault="00F95E29">
    <w:r>
      <w:rPr>
        <w:noProof/>
      </w:rPr>
      <w:drawing>
        <wp:anchor distT="0" distB="0" distL="114300" distR="114300" simplePos="0" relativeHeight="251660288" behindDoc="0" locked="0" layoutInCell="1" allowOverlap="1" wp14:anchorId="531B7897" wp14:editId="5FEE0F2C">
          <wp:simplePos x="0" y="0"/>
          <wp:positionH relativeFrom="page">
            <wp:posOffset>-252095</wp:posOffset>
          </wp:positionH>
          <wp:positionV relativeFrom="paragraph">
            <wp:posOffset>-554355</wp:posOffset>
          </wp:positionV>
          <wp:extent cx="7843520" cy="933450"/>
          <wp:effectExtent l="0" t="0" r="5080" b="63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43704" cy="9332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9ADCE"/>
    <w:multiLevelType w:val="singleLevel"/>
    <w:tmpl w:val="2B39ADCE"/>
    <w:lvl w:ilvl="0">
      <w:start w:val="1"/>
      <w:numFmt w:val="bullet"/>
      <w:lvlText w:val=""/>
      <w:lvlJc w:val="left"/>
      <w:pPr>
        <w:ind w:left="420" w:hanging="420"/>
      </w:pPr>
      <w:rPr>
        <w:rFonts w:ascii="Wingdings" w:hAnsi="Wingdings" w:hint="default"/>
      </w:rPr>
    </w:lvl>
  </w:abstractNum>
  <w:abstractNum w:abstractNumId="1" w15:restartNumberingAfterBreak="0">
    <w:nsid w:val="4858F24D"/>
    <w:multiLevelType w:val="singleLevel"/>
    <w:tmpl w:val="4858F24D"/>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8"/>
    <w:rsid w:val="00172975"/>
    <w:rsid w:val="001A36C7"/>
    <w:rsid w:val="00290108"/>
    <w:rsid w:val="002B136F"/>
    <w:rsid w:val="0036539B"/>
    <w:rsid w:val="0042643E"/>
    <w:rsid w:val="00531EC9"/>
    <w:rsid w:val="00730259"/>
    <w:rsid w:val="00927F3D"/>
    <w:rsid w:val="00957D42"/>
    <w:rsid w:val="00C63114"/>
    <w:rsid w:val="00D2421E"/>
    <w:rsid w:val="00E8038B"/>
    <w:rsid w:val="00ED4CD6"/>
    <w:rsid w:val="00F95E29"/>
    <w:rsid w:val="0267757A"/>
    <w:rsid w:val="036830F1"/>
    <w:rsid w:val="05C46530"/>
    <w:rsid w:val="05C96CA8"/>
    <w:rsid w:val="091D3400"/>
    <w:rsid w:val="0AD51955"/>
    <w:rsid w:val="0BFD609C"/>
    <w:rsid w:val="0CF55FAE"/>
    <w:rsid w:val="0D277BCB"/>
    <w:rsid w:val="0D604EB6"/>
    <w:rsid w:val="0F606193"/>
    <w:rsid w:val="10232A98"/>
    <w:rsid w:val="187E3DCC"/>
    <w:rsid w:val="1B4B150A"/>
    <w:rsid w:val="202D73B8"/>
    <w:rsid w:val="24C33941"/>
    <w:rsid w:val="26644040"/>
    <w:rsid w:val="2B9410EF"/>
    <w:rsid w:val="2D136D2B"/>
    <w:rsid w:val="32841E88"/>
    <w:rsid w:val="392E2379"/>
    <w:rsid w:val="39D44469"/>
    <w:rsid w:val="3F0F7301"/>
    <w:rsid w:val="3F58383E"/>
    <w:rsid w:val="41CB1A69"/>
    <w:rsid w:val="45720C84"/>
    <w:rsid w:val="45781606"/>
    <w:rsid w:val="50EB2940"/>
    <w:rsid w:val="5B151F57"/>
    <w:rsid w:val="5BD94C1B"/>
    <w:rsid w:val="5E730534"/>
    <w:rsid w:val="61462BC5"/>
    <w:rsid w:val="619E20CF"/>
    <w:rsid w:val="66085008"/>
    <w:rsid w:val="67E93377"/>
    <w:rsid w:val="68BB1949"/>
    <w:rsid w:val="6A830F36"/>
    <w:rsid w:val="70B061B0"/>
    <w:rsid w:val="71A47A92"/>
    <w:rsid w:val="72950A18"/>
    <w:rsid w:val="738D5EBE"/>
    <w:rsid w:val="73BC6F40"/>
    <w:rsid w:val="755E7850"/>
    <w:rsid w:val="76170C44"/>
    <w:rsid w:val="76A359B4"/>
    <w:rsid w:val="77A5749F"/>
    <w:rsid w:val="785E6017"/>
    <w:rsid w:val="78A01355"/>
    <w:rsid w:val="79AD3802"/>
    <w:rsid w:val="79C96C23"/>
    <w:rsid w:val="7AE06395"/>
    <w:rsid w:val="7B573075"/>
    <w:rsid w:val="7D820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FA5AC"/>
  <w15:docId w15:val="{C8BD13C7-C7CF-4342-9984-09A478BA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jc w:val="left"/>
      <w:outlineLvl w:val="0"/>
    </w:pPr>
    <w:rPr>
      <w:rFonts w:ascii="微软雅黑" w:eastAsia="微软雅黑" w:hAnsi="微软雅黑" w:cs="Times New Roman"/>
      <w:color w:val="0188DE"/>
      <w:kern w:val="44"/>
      <w:sz w:val="66"/>
      <w:szCs w:val="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jc w:val="left"/>
    </w:pPr>
    <w:rPr>
      <w:rFonts w:cs="Times New Roman"/>
      <w:kern w:val="0"/>
      <w:sz w:val="24"/>
    </w:rPr>
  </w:style>
  <w:style w:type="character" w:styleId="aa">
    <w:name w:val="Strong"/>
    <w:basedOn w:val="a0"/>
    <w:uiPriority w:val="22"/>
    <w:qFormat/>
    <w:rPr>
      <w:b/>
    </w:rPr>
  </w:style>
  <w:style w:type="character" w:styleId="ab">
    <w:name w:val="FollowedHyperlink"/>
    <w:basedOn w:val="a0"/>
    <w:uiPriority w:val="99"/>
    <w:semiHidden/>
    <w:unhideWhenUsed/>
    <w:qFormat/>
    <w:rPr>
      <w:color w:val="1064A0"/>
      <w:u w:val="none"/>
    </w:rPr>
  </w:style>
  <w:style w:type="character" w:styleId="ac">
    <w:name w:val="Emphasis"/>
    <w:basedOn w:val="a0"/>
    <w:uiPriority w:val="20"/>
    <w:qFormat/>
  </w:style>
  <w:style w:type="character" w:styleId="ad">
    <w:name w:val="Hyperlink"/>
    <w:basedOn w:val="a0"/>
    <w:uiPriority w:val="99"/>
    <w:semiHidden/>
    <w:unhideWhenUsed/>
    <w:qFormat/>
    <w:rPr>
      <w:color w:val="1064A0"/>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lidan</dc:creator>
  <cp:lastModifiedBy>不忘初心</cp:lastModifiedBy>
  <cp:revision>3</cp:revision>
  <dcterms:created xsi:type="dcterms:W3CDTF">2020-02-14T12:39:00Z</dcterms:created>
  <dcterms:modified xsi:type="dcterms:W3CDTF">2020-02-20T11:18:00Z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KSORubyTemplateID" linkTarget="0">
    <vt:lpwstr>6</vt:lpwstr>
  </property>
</Properties>
</file>