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C84" w:rsidRDefault="00625C84">
      <w:pPr>
        <w:spacing w:line="360" w:lineRule="exact"/>
        <w:jc w:val="left"/>
        <w:rPr>
          <w:rFonts w:ascii="微软雅黑" w:eastAsia="微软雅黑" w:hAnsi="微软雅黑" w:cs="微软雅黑"/>
          <w:b/>
          <w:bCs/>
          <w:color w:val="0070C0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56515</wp:posOffset>
            </wp:positionV>
            <wp:extent cx="2680335" cy="1689100"/>
            <wp:effectExtent l="0" t="0" r="5715" b="6350"/>
            <wp:wrapTopAndBottom/>
            <wp:docPr id="1" name="图片 1" descr="图片3-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-75"/>
                    <pic:cNvPicPr>
                      <a:picLocks noChangeAspect="1"/>
                    </pic:cNvPicPr>
                  </pic:nvPicPr>
                  <pic:blipFill>
                    <a:blip r:embed="rId8"/>
                    <a:srcRect l="51143" b="16493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0270" w:rsidRDefault="005F37CC">
      <w:pPr>
        <w:spacing w:line="360" w:lineRule="exact"/>
        <w:jc w:val="left"/>
        <w:rPr>
          <w:rFonts w:ascii="微软雅黑" w:eastAsia="微软雅黑" w:hAnsi="微软雅黑" w:cs="微软雅黑"/>
          <w:b/>
          <w:bCs/>
          <w:color w:val="0070C0"/>
          <w:sz w:val="28"/>
          <w:szCs w:val="28"/>
        </w:rPr>
      </w:pPr>
      <w:r>
        <w:rPr>
          <w:rFonts w:ascii="微软雅黑" w:eastAsia="微软雅黑" w:hAnsi="微软雅黑" w:cs="微软雅黑"/>
          <w:b/>
          <w:bCs/>
          <w:color w:val="0070C0"/>
          <w:sz w:val="28"/>
          <w:szCs w:val="28"/>
        </w:rPr>
        <w:t>SGR4智能长波辐射表</w:t>
      </w:r>
    </w:p>
    <w:p w:rsidR="00E20270" w:rsidRDefault="00E20270">
      <w:pPr>
        <w:widowControl/>
        <w:shd w:val="clear" w:color="auto" w:fill="FFFFFF"/>
        <w:spacing w:line="360" w:lineRule="exact"/>
        <w:jc w:val="left"/>
        <w:rPr>
          <w:rFonts w:ascii="微软雅黑" w:eastAsia="微软雅黑" w:hAnsi="微软雅黑" w:cs="微软雅黑"/>
          <w:color w:val="000000"/>
          <w:kern w:val="0"/>
          <w:sz w:val="20"/>
          <w:szCs w:val="20"/>
          <w:shd w:val="clear" w:color="auto" w:fill="FFFFFF"/>
        </w:rPr>
      </w:pPr>
    </w:p>
    <w:p w:rsidR="00E20270" w:rsidRDefault="005F37CC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SGR4长波辐射表是一款优良的</w:t>
      </w:r>
      <w:proofErr w:type="gramStart"/>
      <w:r>
        <w:rPr>
          <w:rFonts w:ascii="微软雅黑" w:eastAsia="微软雅黑" w:hAnsi="微软雅黑" w:hint="eastAsia"/>
          <w:sz w:val="20"/>
          <w:szCs w:val="20"/>
        </w:rPr>
        <w:t>科研级测量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仪器。其特别设计的弯月面圆顶构造，能实现180º视角范围内的测量，方向响应误差可忽略不计。圆顶外侧涂有</w:t>
      </w:r>
      <w:proofErr w:type="gramStart"/>
      <w:r>
        <w:rPr>
          <w:rFonts w:ascii="微软雅黑" w:eastAsia="微软雅黑" w:hAnsi="微软雅黑" w:hint="eastAsia"/>
          <w:sz w:val="20"/>
          <w:szCs w:val="20"/>
        </w:rPr>
        <w:t>一层硬碳涂层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，使光谱响应流畅并且还能够保护硅表面。此外，圆顶构造使其具有较佳的热稳定性，与仪器主体部分相耦合，无需测量圆顶温度或遮蔽圆顶。SGR4还可加装CVF4通风装置，进一步提高其性能。</w:t>
      </w:r>
    </w:p>
    <w:p w:rsidR="00E20270" w:rsidRDefault="005F37CC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SGR4内置有干燥剂，可持续使用至少10年，显著减少了维护工作量。</w:t>
      </w:r>
    </w:p>
    <w:p w:rsidR="00E20270" w:rsidRDefault="005F37CC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SGR4加装有CVF4通风装置，可延长圆罩清洁的时间间隔，并使测量质量达到优良。</w:t>
      </w:r>
    </w:p>
    <w:p w:rsidR="00E20270" w:rsidRDefault="005F37CC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SMP6配有一个Modbus®接口，模拟输出信号经过放大处理，响应时间也经过改进，测量数据均采取温度校正。通过该接口，可直接获取长波净辐射和下行辐射。其电源范围广，供电</w:t>
      </w:r>
      <w:proofErr w:type="gramStart"/>
      <w:r>
        <w:rPr>
          <w:rFonts w:ascii="微软雅黑" w:eastAsia="微软雅黑" w:hAnsi="微软雅黑" w:hint="eastAsia"/>
          <w:sz w:val="20"/>
          <w:szCs w:val="20"/>
        </w:rPr>
        <w:t>电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压低，在5~30VDC之间，方便与气象站和太阳能电站相集成。SGR4的设计极其坚固可靠。</w:t>
      </w:r>
    </w:p>
    <w:p w:rsidR="00E20270" w:rsidRDefault="005F37CC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由于每台SGR4均采用标准化输出和连接件，您可以轻松互换仪器，进行重新校准。</w:t>
      </w:r>
    </w:p>
    <w:p w:rsidR="00E20270" w:rsidRDefault="005F37CC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提供的标准部件包括用于记录数据的Smart</w:t>
      </w:r>
      <w:r w:rsidR="00625C84">
        <w:rPr>
          <w:rFonts w:ascii="微软雅黑" w:eastAsia="微软雅黑" w:hAnsi="微软雅黑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sz w:val="20"/>
          <w:szCs w:val="20"/>
        </w:rPr>
        <w:t>Explorer</w:t>
      </w:r>
      <w:r w:rsidR="00625C84">
        <w:rPr>
          <w:rFonts w:ascii="微软雅黑" w:eastAsia="微软雅黑" w:hAnsi="微软雅黑"/>
          <w:sz w:val="20"/>
          <w:szCs w:val="20"/>
        </w:rPr>
        <w:t xml:space="preserve"> </w:t>
      </w:r>
      <w:r>
        <w:rPr>
          <w:rFonts w:ascii="微软雅黑" w:eastAsia="微软雅黑" w:hAnsi="微软雅黑" w:hint="eastAsia"/>
          <w:sz w:val="20"/>
          <w:szCs w:val="20"/>
        </w:rPr>
        <w:t>Windows™软件、数据显示屏以及Modbus®地址设置模块。</w:t>
      </w:r>
    </w:p>
    <w:p w:rsidR="001A6D43" w:rsidRDefault="001A6D43">
      <w:pPr>
        <w:spacing w:line="360" w:lineRule="exact"/>
        <w:ind w:firstLineChars="200" w:firstLine="400"/>
        <w:rPr>
          <w:rFonts w:ascii="微软雅黑" w:eastAsia="微软雅黑" w:hAnsi="微软雅黑"/>
          <w:sz w:val="20"/>
          <w:szCs w:val="20"/>
        </w:rPr>
      </w:pPr>
    </w:p>
    <w:p w:rsidR="00E20270" w:rsidRDefault="005F37CC">
      <w:pPr>
        <w:widowControl/>
        <w:spacing w:line="360" w:lineRule="exact"/>
        <w:jc w:val="left"/>
        <w:rPr>
          <w:rFonts w:ascii="微软雅黑" w:eastAsia="微软雅黑" w:hAnsi="微软雅黑" w:cs="微软雅黑"/>
          <w:color w:val="0070C0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产品特点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市场上优级</w:t>
      </w:r>
      <w:proofErr w:type="gramStart"/>
      <w:r>
        <w:rPr>
          <w:rFonts w:ascii="微软雅黑" w:eastAsia="微软雅黑" w:hAnsi="微软雅黑" w:cs="宋体" w:hint="eastAsia"/>
          <w:kern w:val="0"/>
          <w:sz w:val="20"/>
          <w:szCs w:val="20"/>
        </w:rPr>
        <w:t>科研级</w:t>
      </w:r>
      <w:proofErr w:type="gramEnd"/>
      <w:r>
        <w:rPr>
          <w:rFonts w:ascii="微软雅黑" w:eastAsia="微软雅黑" w:hAnsi="微软雅黑" w:cs="宋体" w:hint="eastAsia"/>
          <w:kern w:val="0"/>
          <w:sz w:val="20"/>
          <w:szCs w:val="20"/>
        </w:rPr>
        <w:t>长波辐射表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灵敏度的温度依存性低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窗口加热偏移非常低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下行辐射输出计算值低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RS-485Modbus®通信方式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10年内无需更换干燥剂</w:t>
      </w:r>
    </w:p>
    <w:p w:rsidR="00E20270" w:rsidRDefault="005F37CC">
      <w:pPr>
        <w:widowControl/>
        <w:spacing w:line="360" w:lineRule="exact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微软雅黑" w:hint="eastAsia"/>
          <w:color w:val="0070C0"/>
          <w:sz w:val="20"/>
          <w:szCs w:val="20"/>
        </w:rPr>
        <w:t>技术参数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bookmarkStart w:id="0" w:name="_Hlk33451324"/>
      <w:r>
        <w:rPr>
          <w:rFonts w:ascii="微软雅黑" w:eastAsia="微软雅黑" w:hAnsi="微软雅黑" w:cs="宋体" w:hint="eastAsia"/>
          <w:kern w:val="0"/>
          <w:sz w:val="20"/>
          <w:szCs w:val="20"/>
        </w:rPr>
        <w:t>光谱范围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4400to50000nm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响应时间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 w:rsidR="001A6D43">
        <w:rPr>
          <w:rFonts w:ascii="微软雅黑" w:eastAsia="微软雅黑" w:hAnsi="微软雅黑" w:cs="宋体" w:hint="eastAsia"/>
          <w:kern w:val="0"/>
          <w:sz w:val="20"/>
          <w:szCs w:val="20"/>
        </w:rPr>
        <w:t>&lt;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18s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窗口加热偏移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4W/m²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零点偏移B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&lt;2W/m²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lastRenderedPageBreak/>
        <w:t>灵敏度的温度依存性（-20°C~+50°C）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&lt;1%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工作温度范围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-40to+80°C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视角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180°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非线性误差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&lt;1%</w:t>
      </w:r>
    </w:p>
    <w:p w:rsidR="00E20270" w:rsidRDefault="005F37CC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模拟输出信号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4to20mA/0to1VmV/Wm²</w:t>
      </w:r>
    </w:p>
    <w:p w:rsidR="00E20270" w:rsidRPr="00625C84" w:rsidRDefault="005F37CC" w:rsidP="00625C84">
      <w:pPr>
        <w:widowControl/>
        <w:numPr>
          <w:ilvl w:val="0"/>
          <w:numId w:val="1"/>
        </w:numPr>
        <w:spacing w:line="360" w:lineRule="exact"/>
        <w:ind w:left="0" w:firstLineChars="200" w:firstLine="400"/>
        <w:jc w:val="left"/>
        <w:rPr>
          <w:rFonts w:ascii="微软雅黑" w:eastAsia="微软雅黑" w:hAnsi="微软雅黑" w:cs="微软雅黑" w:hint="eastAsia"/>
          <w:sz w:val="20"/>
          <w:szCs w:val="20"/>
        </w:rPr>
      </w:pPr>
      <w:r>
        <w:rPr>
          <w:rFonts w:ascii="微软雅黑" w:eastAsia="微软雅黑" w:hAnsi="微软雅黑" w:cs="宋体" w:hint="eastAsia"/>
          <w:kern w:val="0"/>
          <w:sz w:val="20"/>
          <w:szCs w:val="20"/>
        </w:rPr>
        <w:t>数字输出</w:t>
      </w:r>
      <w:r>
        <w:rPr>
          <w:rFonts w:ascii="微软雅黑" w:eastAsia="微软雅黑" w:hAnsi="微软雅黑" w:cs="宋体"/>
          <w:kern w:val="0"/>
          <w:sz w:val="20"/>
          <w:szCs w:val="20"/>
        </w:rPr>
        <w:t>：</w:t>
      </w:r>
      <w:r>
        <w:rPr>
          <w:rFonts w:ascii="微软雅黑" w:eastAsia="微软雅黑" w:hAnsi="微软雅黑" w:cs="宋体" w:hint="eastAsia"/>
          <w:kern w:val="0"/>
          <w:sz w:val="20"/>
          <w:szCs w:val="20"/>
        </w:rPr>
        <w:t>2-wireRS-485</w:t>
      </w:r>
      <w:bookmarkStart w:id="1" w:name="_GoBack"/>
      <w:bookmarkEnd w:id="0"/>
      <w:bookmarkEnd w:id="1"/>
    </w:p>
    <w:sectPr w:rsidR="00E20270" w:rsidRPr="00625C84">
      <w:headerReference w:type="default" r:id="rId9"/>
      <w:footerReference w:type="default" r:id="rId10"/>
      <w:pgSz w:w="11906" w:h="16838"/>
      <w:pgMar w:top="1701" w:right="1797" w:bottom="1985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48D7" w:rsidRDefault="003048D7">
      <w:r>
        <w:separator/>
      </w:r>
    </w:p>
  </w:endnote>
  <w:endnote w:type="continuationSeparator" w:id="0">
    <w:p w:rsidR="003048D7" w:rsidRDefault="00304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270" w:rsidRDefault="005F37CC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-38100</wp:posOffset>
          </wp:positionH>
          <wp:positionV relativeFrom="paragraph">
            <wp:posOffset>-270510</wp:posOffset>
          </wp:positionV>
          <wp:extent cx="7712075" cy="1104265"/>
          <wp:effectExtent l="0" t="0" r="3175" b="635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2075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48D7" w:rsidRDefault="003048D7">
      <w:r>
        <w:separator/>
      </w:r>
    </w:p>
  </w:footnote>
  <w:footnote w:type="continuationSeparator" w:id="0">
    <w:p w:rsidR="003048D7" w:rsidRDefault="00304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270" w:rsidRDefault="005F37CC"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-252095</wp:posOffset>
          </wp:positionH>
          <wp:positionV relativeFrom="paragraph">
            <wp:posOffset>-554355</wp:posOffset>
          </wp:positionV>
          <wp:extent cx="7843520" cy="933450"/>
          <wp:effectExtent l="0" t="0" r="5080" b="635"/>
          <wp:wrapNone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704" cy="933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58F24D"/>
    <w:multiLevelType w:val="singleLevel"/>
    <w:tmpl w:val="4858F24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0108"/>
    <w:rsid w:val="00172975"/>
    <w:rsid w:val="001A6D43"/>
    <w:rsid w:val="00290108"/>
    <w:rsid w:val="002B136F"/>
    <w:rsid w:val="003048D7"/>
    <w:rsid w:val="0036539B"/>
    <w:rsid w:val="00422E14"/>
    <w:rsid w:val="0042643E"/>
    <w:rsid w:val="00531EC9"/>
    <w:rsid w:val="005F37CC"/>
    <w:rsid w:val="00625C84"/>
    <w:rsid w:val="00730259"/>
    <w:rsid w:val="009A1FC1"/>
    <w:rsid w:val="00C63114"/>
    <w:rsid w:val="00D17036"/>
    <w:rsid w:val="00E20270"/>
    <w:rsid w:val="00E8038B"/>
    <w:rsid w:val="00ED4CD6"/>
    <w:rsid w:val="0267757A"/>
    <w:rsid w:val="036830F1"/>
    <w:rsid w:val="05C46530"/>
    <w:rsid w:val="05C96CA8"/>
    <w:rsid w:val="091D3400"/>
    <w:rsid w:val="0AD51955"/>
    <w:rsid w:val="0BFD609C"/>
    <w:rsid w:val="0CF55FAE"/>
    <w:rsid w:val="0D277BCB"/>
    <w:rsid w:val="0D604EB6"/>
    <w:rsid w:val="0F606193"/>
    <w:rsid w:val="10232A98"/>
    <w:rsid w:val="187E3DCC"/>
    <w:rsid w:val="1B4B150A"/>
    <w:rsid w:val="1C8F2794"/>
    <w:rsid w:val="202D73B8"/>
    <w:rsid w:val="24C33941"/>
    <w:rsid w:val="26644040"/>
    <w:rsid w:val="2B9410EF"/>
    <w:rsid w:val="2D136D2B"/>
    <w:rsid w:val="32841E88"/>
    <w:rsid w:val="392E2379"/>
    <w:rsid w:val="39D44469"/>
    <w:rsid w:val="3F0F7301"/>
    <w:rsid w:val="3F58383E"/>
    <w:rsid w:val="41CB1A69"/>
    <w:rsid w:val="45720C84"/>
    <w:rsid w:val="45781606"/>
    <w:rsid w:val="50EB2940"/>
    <w:rsid w:val="52290CC0"/>
    <w:rsid w:val="5B151F57"/>
    <w:rsid w:val="5BD94C1B"/>
    <w:rsid w:val="5E730534"/>
    <w:rsid w:val="61462BC5"/>
    <w:rsid w:val="619E20CF"/>
    <w:rsid w:val="66085008"/>
    <w:rsid w:val="67E93377"/>
    <w:rsid w:val="68BB1949"/>
    <w:rsid w:val="6A830F36"/>
    <w:rsid w:val="70B061B0"/>
    <w:rsid w:val="71A47A92"/>
    <w:rsid w:val="72950A18"/>
    <w:rsid w:val="738D5EBE"/>
    <w:rsid w:val="73BC6F40"/>
    <w:rsid w:val="755E7850"/>
    <w:rsid w:val="76170C44"/>
    <w:rsid w:val="76A359B4"/>
    <w:rsid w:val="77A5749F"/>
    <w:rsid w:val="785E6017"/>
    <w:rsid w:val="78A01355"/>
    <w:rsid w:val="79AD3802"/>
    <w:rsid w:val="79C96C23"/>
    <w:rsid w:val="7AE06395"/>
    <w:rsid w:val="7B573075"/>
    <w:rsid w:val="7D82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214A66F"/>
  <w15:docId w15:val="{DB425B9D-4AAD-4127-9861-4391783C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jc w:val="left"/>
      <w:outlineLvl w:val="0"/>
    </w:pPr>
    <w:rPr>
      <w:rFonts w:ascii="微软雅黑" w:eastAsia="微软雅黑" w:hAnsi="微软雅黑" w:cs="Times New Roman"/>
      <w:color w:val="0188DE"/>
      <w:kern w:val="44"/>
      <w:sz w:val="66"/>
      <w:szCs w:val="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jc w:val="left"/>
    </w:pPr>
    <w:rPr>
      <w:rFonts w:cs="Times New Roman"/>
      <w:kern w:val="0"/>
      <w:sz w:val="24"/>
    </w:rPr>
  </w:style>
  <w:style w:type="character" w:styleId="aa">
    <w:name w:val="Strong"/>
    <w:basedOn w:val="a0"/>
    <w:uiPriority w:val="22"/>
    <w:qFormat/>
    <w:rPr>
      <w:b/>
    </w:rPr>
  </w:style>
  <w:style w:type="character" w:styleId="ab">
    <w:name w:val="FollowedHyperlink"/>
    <w:basedOn w:val="a0"/>
    <w:uiPriority w:val="99"/>
    <w:semiHidden/>
    <w:unhideWhenUsed/>
    <w:qFormat/>
    <w:rPr>
      <w:color w:val="1064A0"/>
      <w:u w:val="none"/>
    </w:rPr>
  </w:style>
  <w:style w:type="character" w:styleId="ac">
    <w:name w:val="Emphasis"/>
    <w:basedOn w:val="a0"/>
    <w:uiPriority w:val="20"/>
    <w:qFormat/>
  </w:style>
  <w:style w:type="character" w:styleId="ad">
    <w:name w:val="Hyperlink"/>
    <w:basedOn w:val="a0"/>
    <w:uiPriority w:val="99"/>
    <w:semiHidden/>
    <w:unhideWhenUsed/>
    <w:qFormat/>
    <w:rPr>
      <w:color w:val="1064A0"/>
      <w:u w:val="non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e">
    <w:name w:val="List Paragraph"/>
    <w:basedOn w:val="a"/>
    <w:uiPriority w:val="9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lidan</dc:creator>
  <cp:lastModifiedBy>bai david</cp:lastModifiedBy>
  <cp:revision>6</cp:revision>
  <dcterms:created xsi:type="dcterms:W3CDTF">2019-01-15T03:14:00Z</dcterms:created>
  <dcterms:modified xsi:type="dcterms:W3CDTF">2020-02-25T13:37:00Z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  <property fmtid="{D5CDD505-2E9C-101B-9397-08002B2CF9AE}" pid="3" name="KSORubyTemplateID" linkTarget="0">
    <vt:lpwstr>6</vt:lpwstr>
  </property>
</Properties>
</file>