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157480</wp:posOffset>
            </wp:positionV>
            <wp:extent cx="3201035" cy="2519680"/>
            <wp:effectExtent l="9525" t="9525" r="20320" b="15875"/>
            <wp:wrapSquare wrapText="bothSides"/>
            <wp:docPr id="1" name="图片 1" descr="G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L-200"/>
                    <pic:cNvPicPr>
                      <a:picLocks noChangeAspect="1"/>
                    </pic:cNvPicPr>
                  </pic:nvPicPr>
                  <pic:blipFill>
                    <a:blip r:embed="rId6"/>
                    <a:srcRect l="10096" t="6809" r="4375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519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G63型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COD氨氮总磷测定仪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63三参数水质测定仪，测定项目的原理符合环保行业认可方法。设备的光源、传感器等核心部件为国外进口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拥有更稳定的光学性能。设备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专利技术“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Glos水质智能检测系统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让检测变得简单智能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。产品内置水质分析、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数据查询、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数据打印、引导检测模式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等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应用程序。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COD的测定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《HJ/T 399-2007水质 化学需氧量 快速消解分光光度法》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氨氮的测定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 535-2009 水质 氨氮的测定 纳氏试剂分光光度法》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总磷的测定依据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instrText xml:space="preserve"> HYPERLINK "https://www.baidu.com/link?url=J78FZfpWXT3qJN5P6DPq9Vd0nVIG7J38m0lKrOJfMZTBnuvxIbr62xJBAwyPdzOoZPS1Tieo-7Y3h1X8deqrba&amp;wd=&amp;eqid=a8b97db000003394000000025e5dbf33" \t "https://www.baidu.com/_blank"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GB 11893-89水质总磷的测定 钼酸铵分光光度法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end"/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》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进口固态冷光源10万小时光学寿命，性能稳定，测定结果准确。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支持COD、氨氮、总磷、三种水质污染物的测定。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搭载自主研发Glos水质智能检测系统，让检测更简单智能。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4.3 英寸彩屏显示，引导式操作，使用者轻松完成浓度测定。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检测结果可自动打印。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搭配支持(16mm)管比色，消解无需移取液体。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ABS材质，高强度、耐腐蚀、耐高温外壳。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配备G6型便携式消解仪，仅需一键完成项目消解操作。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配备进口Biohit移液器，减少了移取水样的误差，更简单，更稳定。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配备预制试剂，只需要在试管内添加污染物水样再经过消解即可进行测定。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技术参数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805" w:tblpY="216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2805"/>
        <w:gridCol w:w="2505"/>
        <w:gridCol w:w="2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产品型号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G63型 三参数水质测定仪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检测参数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COD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氨氮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总磷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测量标准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HJ/T399-2007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HJ535-2009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GB11893-89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测量范围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0-15000mg/L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0-50mg/L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0-16mg/L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抗氯干扰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2000mg/L</w:t>
            </w:r>
          </w:p>
        </w:tc>
        <w:tc>
          <w:tcPr>
            <w:tcW w:w="51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检测下限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5mg/L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0.05mg/L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0.02mg/L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消解温度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165℃，20min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无需消解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150℃，15min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检测时间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25分钟/批次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5分钟/批次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20分钟/批次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重复性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示值误差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光学稳定性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≤±0.001Abs/20分钟（10万小时寿命）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比色方式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（16mm）管比色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打印机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微型热敏打印机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操作系统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搭载Glos水质智能检测系统 专利技术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屏幕显示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4.3寸彩屏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设备功能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水质分析、数据管理、数据查询、USB升级等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仪器电源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AC（220V±5%），50Hz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工作环境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5-40℃，≤85%无冷凝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仪器尺寸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shd w:val="clear" w:fill="FFFFFF"/>
              </w:rPr>
              <w:t>300mm×222mm×88mm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仪器重量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2.8kg</w:t>
            </w:r>
          </w:p>
        </w:tc>
      </w:tr>
    </w:tbl>
    <w:tbl>
      <w:tblPr>
        <w:tblStyle w:val="7"/>
        <w:tblpPr w:leftFromText="180" w:rightFromText="180" w:vertAnchor="page" w:horzAnchor="page" w:tblpX="1893" w:tblpY="9460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769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76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61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主机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电源线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试剂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试管架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擦拭布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消解比色管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手套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2双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稀释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杯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棕色瓶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使用说明书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 xml:space="preserve"> / 合格证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69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专用移液器</w:t>
            </w:r>
          </w:p>
        </w:tc>
        <w:tc>
          <w:tcPr>
            <w:tcW w:w="2619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val="en-US" w:eastAsia="zh-CN"/>
              </w:rPr>
              <w:t>1支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cols w:space="0" w:num="1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</w:p>
    <w:p>
      <w:pPr>
        <w:pStyle w:val="3"/>
        <w:rPr>
          <w:rFonts w:hint="eastAsia" w:eastAsia="宋体"/>
          <w:lang w:eastAsia="zh-CN"/>
        </w:rPr>
      </w:pPr>
    </w:p>
    <w:sectPr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491116D"/>
    <w:rsid w:val="10B042A3"/>
    <w:rsid w:val="17C13FE0"/>
    <w:rsid w:val="19943ECA"/>
    <w:rsid w:val="20802770"/>
    <w:rsid w:val="2D1863C6"/>
    <w:rsid w:val="3D6C0384"/>
    <w:rsid w:val="400F46BF"/>
    <w:rsid w:val="48105FF8"/>
    <w:rsid w:val="4A7D1BC0"/>
    <w:rsid w:val="51A350E5"/>
    <w:rsid w:val="54D62060"/>
    <w:rsid w:val="552F6FD9"/>
    <w:rsid w:val="5CA8036A"/>
    <w:rsid w:val="5D780E3E"/>
    <w:rsid w:val="5F312D94"/>
    <w:rsid w:val="61192E40"/>
    <w:rsid w:val="6C6E1172"/>
    <w:rsid w:val="6D6C4B52"/>
    <w:rsid w:val="6ED7739D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2125</Characters>
  <Lines>0</Lines>
  <Paragraphs>0</Paragraphs>
  <TotalTime>168</TotalTime>
  <ScaleCrop>false</ScaleCrop>
  <LinksUpToDate>false</LinksUpToDate>
  <CharactersWithSpaces>2208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财务工作号</cp:lastModifiedBy>
  <cp:lastPrinted>2020-03-04T04:40:00Z</cp:lastPrinted>
  <dcterms:modified xsi:type="dcterms:W3CDTF">2020-08-10T02:12:13Z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