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157480</wp:posOffset>
            </wp:positionV>
            <wp:extent cx="3201035" cy="2519680"/>
            <wp:effectExtent l="9525" t="9525" r="20320" b="15875"/>
            <wp:wrapSquare wrapText="bothSides"/>
            <wp:docPr id="1" name="图片 1" descr="GL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L-200"/>
                    <pic:cNvPicPr>
                      <a:picLocks noChangeAspect="1"/>
                    </pic:cNvPicPr>
                  </pic:nvPicPr>
                  <pic:blipFill>
                    <a:blip r:embed="rId6"/>
                    <a:srcRect l="10096" t="6809" r="4375" b="8085"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251968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G60型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COD氨氮测定仪</w:t>
      </w: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default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产品介绍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G60型COD氨氮测定仪，测定项目的原理符合环保行业认可方法。设备的光源、传感器等核心部件为国外进口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拥有更稳定的光学性能。设备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搭载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专利技术“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Glos水质智能检测系统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eastAsia="zh-CN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让检测变得简单智能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。产品内置水质分析、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数据查询、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数据打印、引导检测模式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等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应用程序。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D4686"/>
          <w:sz w:val="24"/>
          <w:szCs w:val="32"/>
          <w:lang w:val="en-US" w:eastAsia="zh-CN"/>
        </w:rPr>
        <w:t>应用领域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可广泛应用于科研院所、污水工程、水环境检测、石油化工、冶金钢铁、生物医药、食品乳业、毛纺印染、电子机械、水产养殖、光伏、皮革、造纸、等领域的水质检测。  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11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测定原理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COD的测定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《HJ/T 399-2007水质 化学需氧量 快速消解分光光度法》</w:t>
      </w:r>
    </w:p>
    <w:p>
      <w:pPr>
        <w:pStyle w:val="3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</w:pP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氨氮的测定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  <w:t>依据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</w:rPr>
        <w:t>《HJ 535-2009 水质 氨氮的测定 纳氏试剂分光光度法》</w:t>
      </w: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产品特点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</w:rPr>
        <w:br w:type="textWrapping"/>
      </w:r>
      <w:r>
        <w:rPr>
          <w:rFonts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进口固态冷光源10万小时光学寿命，性能稳定，测定结果准确。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支持COD、氨氮等两种水质污染物的测定。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搭载自主研发Glos水质智能检测系统，让检测更简单智能。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4.3 英寸彩屏显示，引导式操作，使用者轻松完成浓度测定。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检测结果可自动打印。 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搭配支持(16mm)管比色，消解无需移取液体。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ABS材质，高强度、耐腐蚀、耐高温外壳。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配备G6型便携式消解仪，仅需一键完成项目消解操作。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配备进口Biohit移液器，减少了移取水样的误差，更简单，更稳定。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Verdana" w:hAnsi="Verdana" w:eastAsia="微软雅黑" w:cs="Verdana"/>
          <w:i w:val="0"/>
          <w:caps w:val="0"/>
          <w:color w:val="004EA2"/>
          <w:spacing w:val="60"/>
          <w:kern w:val="0"/>
          <w:sz w:val="12"/>
          <w:szCs w:val="12"/>
          <w:shd w:val="clear" w:fill="FFFFFF"/>
          <w:lang w:val="en-US" w:eastAsia="zh-CN" w:bidi="ar"/>
        </w:rPr>
        <w:t>•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配备预制试剂，只需要在试管内添加污染物水样再经过消解即可进行测定。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pStyle w:val="3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0"/>
          <w:szCs w:val="1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技术参数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shd w:val="clear" w:fill="FFFFFF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="1805" w:tblpY="216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3815"/>
        <w:gridCol w:w="41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产品型号</w:t>
            </w:r>
          </w:p>
        </w:tc>
        <w:tc>
          <w:tcPr>
            <w:tcW w:w="79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G60型  COD氨氮测定仪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检测参数</w:t>
            </w:r>
          </w:p>
        </w:tc>
        <w:tc>
          <w:tcPr>
            <w:tcW w:w="3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COD</w:t>
            </w:r>
          </w:p>
        </w:tc>
        <w:tc>
          <w:tcPr>
            <w:tcW w:w="4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测量标准</w:t>
            </w:r>
          </w:p>
        </w:tc>
        <w:tc>
          <w:tcPr>
            <w:tcW w:w="3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HJ/T399-2007</w:t>
            </w:r>
          </w:p>
        </w:tc>
        <w:tc>
          <w:tcPr>
            <w:tcW w:w="4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HJ535-2009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测量范围</w:t>
            </w:r>
          </w:p>
        </w:tc>
        <w:tc>
          <w:tcPr>
            <w:tcW w:w="3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0-15000mg/L</w:t>
            </w:r>
          </w:p>
        </w:tc>
        <w:tc>
          <w:tcPr>
            <w:tcW w:w="4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0-50mg/L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抗氯干扰</w:t>
            </w:r>
          </w:p>
        </w:tc>
        <w:tc>
          <w:tcPr>
            <w:tcW w:w="3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2000mg/L</w:t>
            </w:r>
          </w:p>
        </w:tc>
        <w:tc>
          <w:tcPr>
            <w:tcW w:w="4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检测下限</w:t>
            </w:r>
          </w:p>
        </w:tc>
        <w:tc>
          <w:tcPr>
            <w:tcW w:w="3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5mg/L</w:t>
            </w:r>
          </w:p>
        </w:tc>
        <w:tc>
          <w:tcPr>
            <w:tcW w:w="4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0.05mg/L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消解温度</w:t>
            </w:r>
          </w:p>
        </w:tc>
        <w:tc>
          <w:tcPr>
            <w:tcW w:w="3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165℃，20min</w:t>
            </w:r>
          </w:p>
        </w:tc>
        <w:tc>
          <w:tcPr>
            <w:tcW w:w="4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无需消解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检测时间</w:t>
            </w:r>
          </w:p>
        </w:tc>
        <w:tc>
          <w:tcPr>
            <w:tcW w:w="3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25分钟/批次</w:t>
            </w:r>
          </w:p>
        </w:tc>
        <w:tc>
          <w:tcPr>
            <w:tcW w:w="4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5分钟/批次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重复性</w:t>
            </w:r>
          </w:p>
        </w:tc>
        <w:tc>
          <w:tcPr>
            <w:tcW w:w="79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≤± 5％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示值误差</w:t>
            </w:r>
          </w:p>
        </w:tc>
        <w:tc>
          <w:tcPr>
            <w:tcW w:w="79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≤± 5％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光学稳定性</w:t>
            </w:r>
          </w:p>
        </w:tc>
        <w:tc>
          <w:tcPr>
            <w:tcW w:w="79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≤±0.001Abs/20分钟（10万小时寿命）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比色方式</w:t>
            </w:r>
          </w:p>
        </w:tc>
        <w:tc>
          <w:tcPr>
            <w:tcW w:w="79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（16mm）管比色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打印机</w:t>
            </w:r>
          </w:p>
        </w:tc>
        <w:tc>
          <w:tcPr>
            <w:tcW w:w="79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微型热敏打印机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操作系统</w:t>
            </w:r>
          </w:p>
        </w:tc>
        <w:tc>
          <w:tcPr>
            <w:tcW w:w="79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搭载Glos水质智能检测系统 专利技术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屏幕显示</w:t>
            </w:r>
          </w:p>
        </w:tc>
        <w:tc>
          <w:tcPr>
            <w:tcW w:w="79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4.3寸彩屏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设备功能</w:t>
            </w:r>
          </w:p>
        </w:tc>
        <w:tc>
          <w:tcPr>
            <w:tcW w:w="79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水质分析、数据管理、数据查询、USB升级等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仪器电源</w:t>
            </w:r>
          </w:p>
        </w:tc>
        <w:tc>
          <w:tcPr>
            <w:tcW w:w="79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AC（220V±5%），50Hz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工作环境</w:t>
            </w:r>
          </w:p>
        </w:tc>
        <w:tc>
          <w:tcPr>
            <w:tcW w:w="79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5-40℃，≤85%无冷凝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仪器尺寸</w:t>
            </w:r>
          </w:p>
        </w:tc>
        <w:tc>
          <w:tcPr>
            <w:tcW w:w="79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  <w:shd w:val="clear" w:fill="FFFFFF"/>
              </w:rPr>
              <w:t>300mm×222mm×88mm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仪器重量</w:t>
            </w:r>
          </w:p>
        </w:tc>
        <w:tc>
          <w:tcPr>
            <w:tcW w:w="79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2.8kg</w:t>
            </w:r>
          </w:p>
        </w:tc>
      </w:tr>
    </w:tbl>
    <w:tbl>
      <w:tblPr>
        <w:tblStyle w:val="7"/>
        <w:tblpPr w:leftFromText="180" w:rightFromText="180" w:vertAnchor="page" w:horzAnchor="page" w:tblpX="1893" w:tblpY="9460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5769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5769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2619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主机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电源线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 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专用</w:t>
            </w:r>
            <w:r>
              <w:rPr>
                <w:rFonts w:hint="eastAsia"/>
              </w:rPr>
              <w:t>试剂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</w:t>
            </w:r>
            <w:r>
              <w:rPr>
                <w:rFonts w:hint="eastAsia"/>
              </w:rPr>
              <w:t>1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试管架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擦拭布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 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消解比色管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 xml:space="preserve"> 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手套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稀释</w:t>
            </w:r>
            <w:r>
              <w:rPr>
                <w:rFonts w:hint="eastAsia"/>
                <w:lang w:val="en-US" w:eastAsia="zh-CN"/>
              </w:rPr>
              <w:t>杯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棕色瓶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使用说明书</w:t>
            </w:r>
            <w:r>
              <w:rPr>
                <w:rFonts w:hint="eastAsia"/>
                <w:lang w:val="en-US" w:eastAsia="zh-CN"/>
              </w:rPr>
              <w:t xml:space="preserve"> / 合格证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52" w:type="dxa"/>
            <w:vAlign w:val="top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769" w:type="dxa"/>
            <w:vAlign w:val="bottom"/>
          </w:tcPr>
          <w:p>
            <w:pPr>
              <w:pStyle w:val="1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专用移液器</w:t>
            </w:r>
          </w:p>
        </w:tc>
        <w:tc>
          <w:tcPr>
            <w:tcW w:w="2619" w:type="dxa"/>
            <w:vAlign w:val="bottom"/>
          </w:tcPr>
          <w:p>
            <w:pPr>
              <w:pStyle w:val="12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1支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cols w:space="0" w:num="1"/>
        </w:sect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D4686"/>
          <w:spacing w:val="0"/>
          <w:sz w:val="24"/>
          <w:szCs w:val="24"/>
          <w:shd w:val="clear" w:fill="FFFFFF"/>
          <w:lang w:val="en-US" w:eastAsia="zh-CN"/>
        </w:rPr>
        <w:t>发货清单</w:t>
      </w:r>
      <w:bookmarkStart w:id="0" w:name="_GoBack"/>
      <w:bookmarkEnd w:id="0"/>
    </w:p>
    <w:p>
      <w:pPr>
        <w:pStyle w:val="3"/>
        <w:rPr>
          <w:rFonts w:hint="eastAsia" w:eastAsia="宋体"/>
          <w:lang w:eastAsia="zh-CN"/>
        </w:rPr>
      </w:pPr>
    </w:p>
    <w:sectPr>
      <w:type w:val="continuous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40"/>
      </w:tabs>
      <w:jc w:val="center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9"/>
        <w14:textFill>
          <w14:solidFill>
            <w14:schemeClr w14:val="bg1"/>
          </w14:solidFill>
        </w14:textFill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-1361440</wp:posOffset>
              </wp:positionH>
              <wp:positionV relativeFrom="paragraph">
                <wp:posOffset>-360680</wp:posOffset>
              </wp:positionV>
              <wp:extent cx="8013065" cy="1915160"/>
              <wp:effectExtent l="0" t="0" r="3175" b="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3065" cy="1915160"/>
                        <a:chOff x="5559" y="6271"/>
                        <a:chExt cx="12619" cy="3016"/>
                      </a:xfrm>
                    </wpg:grpSpPr>
                    <wps:wsp>
                      <wps:cNvPr id="12" name="任意多边形 12"/>
                      <wps:cNvSpPr/>
                      <wps:spPr>
                        <a:xfrm rot="300000" flipH="1">
                          <a:off x="5673" y="6271"/>
                          <a:ext cx="12505" cy="3016"/>
                        </a:xfrm>
                        <a:custGeom>
                          <a:avLst/>
                          <a:gdLst>
                            <a:gd name="connsiteX0" fmla="*/ 98 w 12226"/>
                            <a:gd name="connsiteY0" fmla="*/ 29 h 2675"/>
                            <a:gd name="connsiteX1" fmla="*/ 12226 w 12226"/>
                            <a:gd name="connsiteY1" fmla="*/ 1055 h 2675"/>
                            <a:gd name="connsiteX2" fmla="*/ 12226 w 12226"/>
                            <a:gd name="connsiteY2" fmla="*/ 2675 h 2675"/>
                            <a:gd name="connsiteX3" fmla="*/ 0 w 12226"/>
                            <a:gd name="connsiteY3" fmla="*/ 1493 h 2675"/>
                            <a:gd name="connsiteX4" fmla="*/ 98 w 12226"/>
                            <a:gd name="connsiteY4" fmla="*/ 29 h 2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26" h="2675">
                              <a:moveTo>
                                <a:pt x="98" y="29"/>
                              </a:moveTo>
                              <a:cubicBezTo>
                                <a:pt x="3742" y="-277"/>
                                <a:pt x="8146" y="1955"/>
                                <a:pt x="12226" y="1055"/>
                              </a:cubicBezTo>
                              <a:lnTo>
                                <a:pt x="12226" y="2675"/>
                              </a:lnTo>
                              <a:lnTo>
                                <a:pt x="0" y="1493"/>
                              </a:lnTo>
                              <a:lnTo>
                                <a:pt x="98" y="2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7EBEFF"/>
                            </a:gs>
                            <a:gs pos="59000">
                              <a:srgbClr val="7EBEFF"/>
                            </a:gs>
                            <a:gs pos="100000">
                              <a:srgbClr val="7EBEFF"/>
                            </a:gs>
                          </a:gsLst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3" name="任意多边形 11"/>
                      <wps:cNvSpPr/>
                      <wps:spPr>
                        <a:xfrm flipH="1">
                          <a:off x="5559" y="6801"/>
                          <a:ext cx="12607" cy="2119"/>
                        </a:xfrm>
                        <a:custGeom>
                          <a:avLst/>
                          <a:gdLst>
                            <a:gd name="connsiteX0" fmla="*/ 0 w 12239"/>
                            <a:gd name="connsiteY0" fmla="*/ 260 h 1879"/>
                            <a:gd name="connsiteX1" fmla="*/ 12239 w 12239"/>
                            <a:gd name="connsiteY1" fmla="*/ 260 h 1879"/>
                            <a:gd name="connsiteX2" fmla="*/ 12239 w 12239"/>
                            <a:gd name="connsiteY2" fmla="*/ 1880 h 1879"/>
                            <a:gd name="connsiteX3" fmla="*/ 0 w 12239"/>
                            <a:gd name="connsiteY3" fmla="*/ 1880 h 1879"/>
                            <a:gd name="connsiteX4" fmla="*/ 0 w 12239"/>
                            <a:gd name="connsiteY4" fmla="*/ 260 h 1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39" h="1880">
                              <a:moveTo>
                                <a:pt x="0" y="260"/>
                              </a:moveTo>
                              <a:cubicBezTo>
                                <a:pt x="4080" y="-640"/>
                                <a:pt x="8159" y="1160"/>
                                <a:pt x="12239" y="260"/>
                              </a:cubicBezTo>
                              <a:lnTo>
                                <a:pt x="12239" y="1880"/>
                              </a:lnTo>
                              <a:lnTo>
                                <a:pt x="0" y="1880"/>
                              </a:lnTo>
                              <a:lnTo>
                                <a:pt x="0" y="26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A2751"/>
                            </a:gs>
                            <a:gs pos="50000">
                              <a:srgbClr val="183E78"/>
                            </a:gs>
                            <a:gs pos="100000">
                              <a:srgbClr val="1D4686"/>
                            </a:gs>
                          </a:gsLst>
                          <a:lin ang="10800000"/>
                        </a:gradFill>
                        <a:effec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07.2pt;margin-top:-28.4pt;height:150.8pt;width:630.95pt;z-index:-251656192;mso-width-relative:page;mso-height-relative:page;" coordorigin="5559,6271" coordsize="12619,3016" o:gfxdata="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1xjP5t0AAAANAQAA&#10;DwAAAAAAAAABACAAAAAiAAAAZHJzL2Rvd25yZXYueG1sUEsBAhQAFAAAAAgAh07iQBeUD9EyBQAA&#10;fBIAAA4AAAAAAAAAAQAgAAAALAEAAGRycy9lMm9Eb2MueG1sUEsFBgAAAAAGAAYAWQEAANAIAAAA&#10;AA==&#10;">
              <o:lock v:ext="edit" aspectratio="f"/>
              <v:shape id="_x0000_s1026" o:spid="_x0000_s1026" o:spt="100" style="position:absolute;left:5673;top:6271;flip:x;height:3016;width:12505;rotation:-327680f;v-text-anchor:middle;" fillcolor="#7EBEFF" filled="t" stroked="f" coordsize="12226,2675" o:gfxdata="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HDpIugAAANsA&#10;AAAPAAAAAAAAAAEAIAAAACIAAABkcnMvZG93bnJldi54bWxQSwECFAAUAAAACACHTuJAMy8FnjsA&#10;AAA5AAAAEAAAAAAAAAABACAAAAAJAQAAZHJzL3NoYXBleG1sLnhtbFBLBQYAAAAABgAGAFsBAACz&#10;AwAAAAA=&#10;" path="m98,29c3742,-277,8146,1955,12226,1055l12226,2675,0,1493,98,29xe">
                <v:path o:connectlocs="100,32;12505,1189;12505,3016;0,1683;100,32" o:connectangles="0,0,0,0,0"/>
                <v:fill type="gradient" on="t" color2="#7EBEFF" angle="90" focus="5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  <v:shape id="任意多边形 11" o:spid="_x0000_s1026" o:spt="100" style="position:absolute;left:5559;top:6801;flip:x;height:2119;width:12607;v-text-anchor:middle;" fillcolor="#0A2751" filled="t" stroked="f" coordsize="12239,1880" o:gfxdata="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j98augAAANsA&#10;AAAPAAAAAAAAAAEAIAAAACIAAABkcnMvZG93bnJldi54bWxQSwECFAAUAAAACACHTuJAMy8FnjsA&#10;AAA5AAAAEAAAAAAAAAABACAAAAAJAQAAZHJzL3NoYXBleG1sLnhtbFBLBQYAAAAABgAGAFsBAACz&#10;AwAAAAA=&#10;" path="m0,260c4080,-640,8159,1160,12239,260l12239,1880,0,1880,0,260xe">
                <v:path o:connectlocs="0,293;12607,293;12607,2120;0,2120;0,293" o:connectangles="0,0,0,0,0"/>
                <v:fill type="gradient" on="t" color2="#1D4686" colors="0f #0A2751;32768f #183E78;65536f #1D4686" angle="27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v:group>
          </w:pict>
        </mc:Fallback>
      </mc:AlternateContent>
    </w:r>
  </w:p>
  <w:p>
    <w:pPr>
      <w:pStyle w:val="4"/>
      <w:tabs>
        <w:tab w:val="left" w:pos="640"/>
      </w:tabs>
      <w:jc w:val="right"/>
      <w:rPr>
        <w:rFonts w:hint="eastAsia" w:ascii="微软雅黑" w:hAnsi="微软雅黑" w:eastAsia="微软雅黑" w:cs="微软雅黑"/>
        <w:b w:val="0"/>
        <w:bCs w:val="0"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132080</wp:posOffset>
              </wp:positionV>
              <wp:extent cx="3622040" cy="57658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161280" y="9408795"/>
                        <a:ext cx="3622040" cy="5765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山东格林凯瑞精密仪器有限公司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</w:t>
                          </w:r>
                        </w:p>
                        <w:p>
                          <w:pPr>
                            <w:pStyle w:val="4"/>
                            <w:tabs>
                              <w:tab w:val="left" w:pos="640"/>
                            </w:tabs>
                            <w:jc w:val="righ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全国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服务热线：400-6658-616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网址：www.cncod.cn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pt;margin-top:10.4pt;height:45.4pt;width:285.2pt;z-index:251661312;mso-width-relative:page;mso-height-relative:page;" filled="f" stroked="f" coordsize="21600,21600" o:gfxdata="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ehlea2QAAAAsBAAAPAAAAAAAAAAEAIAAAACIAAABkcnMvZG93bnJldi54bWxQSwECFAAUAAAA&#10;CACHTuJAwRr4myYCAAAjBAAADgAAAAAAAAABACAAAAAoAQAAZHJzL2Uyb0RvYy54bWxQSwUGAAAA&#10;AAYABgBZAQAAw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山东格林凯瑞精密仪器有限公司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</w:t>
                    </w:r>
                  </w:p>
                  <w:p>
                    <w:pPr>
                      <w:pStyle w:val="4"/>
                      <w:tabs>
                        <w:tab w:val="left" w:pos="640"/>
                      </w:tabs>
                      <w:jc w:val="right"/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全国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服务热线：400-6658-616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网址：www.cncod.cn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  <w:jc w:val="right"/>
      <w:rPr>
        <w:color w:val="FFFFFF" w:themeColor="background1"/>
        <w14:textFill>
          <w14:solidFill>
            <w14:schemeClr w14:val="bg1"/>
          </w14:solidFill>
        </w14:textFill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sz w:val="44"/>
        <w:szCs w:val="44"/>
        <w:lang w:eastAsia="zh-CN"/>
      </w:rPr>
      <w:drawing>
        <wp:anchor distT="0" distB="0" distL="114300" distR="114300" simplePos="0" relativeHeight="251738112" behindDoc="0" locked="0" layoutInCell="1" allowOverlap="1">
          <wp:simplePos x="0" y="0"/>
          <wp:positionH relativeFrom="column">
            <wp:posOffset>4617720</wp:posOffset>
          </wp:positionH>
          <wp:positionV relativeFrom="page">
            <wp:posOffset>245745</wp:posOffset>
          </wp:positionV>
          <wp:extent cx="1610995" cy="787400"/>
          <wp:effectExtent l="0" t="0" r="0" b="0"/>
          <wp:wrapNone/>
          <wp:docPr id="2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995" cy="787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331DE"/>
    <w:rsid w:val="03E94075"/>
    <w:rsid w:val="0491116D"/>
    <w:rsid w:val="10B042A3"/>
    <w:rsid w:val="17C13FE0"/>
    <w:rsid w:val="19943ECA"/>
    <w:rsid w:val="20802770"/>
    <w:rsid w:val="2D1863C6"/>
    <w:rsid w:val="400F46BF"/>
    <w:rsid w:val="45953094"/>
    <w:rsid w:val="4A7D1BC0"/>
    <w:rsid w:val="51A350E5"/>
    <w:rsid w:val="54D62060"/>
    <w:rsid w:val="552F6FD9"/>
    <w:rsid w:val="5CA8036A"/>
    <w:rsid w:val="5F312D94"/>
    <w:rsid w:val="61192E40"/>
    <w:rsid w:val="6C6E1172"/>
    <w:rsid w:val="6D6C4B52"/>
    <w:rsid w:val="6ED7739D"/>
    <w:rsid w:val="732E4108"/>
    <w:rsid w:val="7A1E65FF"/>
    <w:rsid w:val="7A6C10E5"/>
    <w:rsid w:val="7B7331DE"/>
    <w:rsid w:val="7ED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小标题"/>
    <w:basedOn w:val="3"/>
    <w:qFormat/>
    <w:uiPriority w:val="0"/>
    <w:rPr>
      <w:rFonts w:ascii="微软雅黑" w:hAnsi="微软雅黑" w:eastAsia="微软雅黑" w:cs="微软雅黑"/>
      <w:b/>
      <w:color w:val="1D4686"/>
      <w:sz w:val="24"/>
    </w:rPr>
  </w:style>
  <w:style w:type="paragraph" w:customStyle="1" w:styleId="12">
    <w:name w:val="格林正文"/>
    <w:basedOn w:val="3"/>
    <w:qFormat/>
    <w:uiPriority w:val="0"/>
    <w:rPr>
      <w:rFonts w:ascii="微软雅黑" w:hAnsi="微软雅黑" w:eastAsia="微软雅黑" w:cs="微软雅黑"/>
      <w:color w:val="3F3F3F"/>
      <w:sz w:val="19"/>
      <w:szCs w:val="19"/>
    </w:rPr>
  </w:style>
  <w:style w:type="paragraph" w:customStyle="1" w:styleId="13">
    <w:name w:val="产品名称"/>
    <w:basedOn w:val="1"/>
    <w:qFormat/>
    <w:uiPriority w:val="0"/>
    <w:rPr>
      <w:rFonts w:ascii="微软雅黑" w:hAnsi="微软雅黑" w:eastAsia="微软雅黑" w:cs="微软雅黑"/>
      <w:b/>
      <w:bCs/>
      <w:color w:val="1D4686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1498</Words>
  <Characters>2125</Characters>
  <Lines>0</Lines>
  <Paragraphs>0</Paragraphs>
  <TotalTime>133</TotalTime>
  <ScaleCrop>false</ScaleCrop>
  <LinksUpToDate>false</LinksUpToDate>
  <CharactersWithSpaces>2208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2020-02-06T13:06:00Z</dcterms:created>
  <dc:creator>王一</dc:creator>
  <cp:lastModifiedBy>财务工作号</cp:lastModifiedBy>
  <cp:lastPrinted>2020-03-04T04:40:00Z</cp:lastPrinted>
  <dcterms:modified xsi:type="dcterms:W3CDTF">2020-03-26T05:56:00Z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