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微软雅黑" w:hAnsi="微软雅黑" w:eastAsia="微软雅黑" w:cs="微软雅黑"/>
          <w:b/>
          <w:color w:val="0070C0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94615</wp:posOffset>
            </wp:positionV>
            <wp:extent cx="2647950" cy="159067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360" w:lineRule="exact"/>
        <w:jc w:val="left"/>
        <w:rPr>
          <w:rFonts w:ascii="微软雅黑" w:hAnsi="微软雅黑" w:eastAsia="微软雅黑" w:cs="微软雅黑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0070C0"/>
          <w:sz w:val="28"/>
          <w:szCs w:val="28"/>
        </w:rPr>
        <w:t>Soil_Probe土壤气体采样器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sz w:val="20"/>
          <w:szCs w:val="20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插到土壤的不同深度，对土壤气体进行采样。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广泛应用于土壤呼吸调查，以及土壤中各种气体组成及比例的研究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t>技术参数</w:t>
      </w:r>
    </w:p>
    <w:tbl>
      <w:tblPr>
        <w:tblStyle w:val="7"/>
        <w:tblW w:w="8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气体采样器尺寸</w:t>
            </w:r>
          </w:p>
        </w:tc>
        <w:tc>
          <w:tcPr>
            <w:tcW w:w="6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直径13mm，长20mm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材质</w:t>
            </w:r>
          </w:p>
        </w:tc>
        <w:tc>
          <w:tcPr>
            <w:tcW w:w="6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SUS316L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孔径大小</w:t>
            </w:r>
          </w:p>
        </w:tc>
        <w:tc>
          <w:tcPr>
            <w:tcW w:w="6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100μm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整体规格</w:t>
            </w:r>
          </w:p>
        </w:tc>
        <w:tc>
          <w:tcPr>
            <w:tcW w:w="6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标准80cm，可选10-100cm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组成部分</w:t>
            </w:r>
          </w:p>
        </w:tc>
        <w:tc>
          <w:tcPr>
            <w:tcW w:w="65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采样器、收集箱、真空泵</w:t>
            </w:r>
          </w:p>
        </w:tc>
      </w:tr>
    </w:tbl>
    <w:p>
      <w:pPr>
        <w:widowControl/>
        <w:spacing w:line="360" w:lineRule="exact"/>
        <w:ind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F57C7D"/>
    <w:multiLevelType w:val="singleLevel"/>
    <w:tmpl w:val="97F57C7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706E5A"/>
    <w:rsid w:val="00730259"/>
    <w:rsid w:val="007617E9"/>
    <w:rsid w:val="008A32CB"/>
    <w:rsid w:val="008C032A"/>
    <w:rsid w:val="00C63114"/>
    <w:rsid w:val="00DB0481"/>
    <w:rsid w:val="00E8038B"/>
    <w:rsid w:val="00ED4CD6"/>
    <w:rsid w:val="00F926AA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4C2F68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78</TotalTime>
  <ScaleCrop>false</ScaleCrop>
  <LinksUpToDate>false</LinksUpToDate>
  <CharactersWithSpaces>167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2020-02-12T08:41:49Z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