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微软雅黑" w:hAnsi="微软雅黑" w:eastAsia="微软雅黑" w:cs="微软雅黑"/>
          <w:b/>
          <w:color w:val="0070C0"/>
          <w:sz w:val="20"/>
          <w:szCs w:val="20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149860</wp:posOffset>
            </wp:positionV>
            <wp:extent cx="2076450" cy="1898015"/>
            <wp:effectExtent l="0" t="0" r="0" b="698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spacing w:line="360" w:lineRule="exact"/>
        <w:jc w:val="both"/>
        <w:rPr>
          <w:rFonts w:hint="eastAsia" w:cs="微软雅黑"/>
          <w:b/>
          <w:color w:val="0070C0"/>
          <w:sz w:val="28"/>
          <w:szCs w:val="28"/>
        </w:rPr>
      </w:pPr>
      <w:bookmarkStart w:id="0" w:name="_Toc9147"/>
      <w:r>
        <w:rPr>
          <w:rFonts w:hint="eastAsia" w:cs="微软雅黑"/>
          <w:b/>
          <w:color w:val="0070C0"/>
          <w:sz w:val="28"/>
          <w:szCs w:val="28"/>
        </w:rPr>
        <w:t>257土壤水势传感器</w:t>
      </w:r>
      <w:bookmarkEnd w:id="0"/>
    </w:p>
    <w:p>
      <w:pPr>
        <w:widowControl/>
        <w:spacing w:line="360" w:lineRule="exact"/>
        <w:jc w:val="both"/>
        <w:rPr>
          <w:rFonts w:hint="eastAsia" w:cs="微软雅黑"/>
          <w:b/>
          <w:color w:val="0070C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Campbell 253/257土壤水势传感器为用户提供了一种能够对-200kPa~0kPa的土壤水势情况进行简便快捷测量的方法。它采用电阻法测量土壤水势，可以长期埋于土中进行不间断监测。253型通过AM16/32B扩展板与数据采集器连接，而257型则可以直接与Campbell出品的CR系列数据采集器（CR200X除外）连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传感器的探测核心由两个同心电极组成，外壳覆盖有合成薄膜材料，能防止外界腐蚀。电缆线由热塑性橡胶包裹，使其能够经得起极端温度、水浸和紫外降解的考验。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</w:rPr>
        <w:t>技术参数</w:t>
      </w:r>
    </w:p>
    <w:p>
      <w:pPr>
        <w:widowControl/>
        <w:numPr>
          <w:ilvl w:val="0"/>
          <w:numId w:val="1"/>
        </w:numPr>
        <w:spacing w:line="360" w:lineRule="exact"/>
        <w:ind w:left="0"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范围：</w:t>
      </w:r>
      <w:r>
        <w:rPr>
          <w:rFonts w:hint="eastAsia"/>
        </w:rPr>
        <w:t>-200kPa ~ 0kPa（0 ~ -2bars）</w:t>
      </w:r>
    </w:p>
    <w:p>
      <w:pPr>
        <w:widowControl/>
        <w:numPr>
          <w:ilvl w:val="0"/>
          <w:numId w:val="1"/>
        </w:numPr>
        <w:spacing w:line="360" w:lineRule="exact"/>
        <w:ind w:left="0"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尺寸：</w:t>
      </w:r>
      <w:r>
        <w:rPr>
          <w:rFonts w:hint="eastAsia"/>
        </w:rPr>
        <w:t>长8.26cm，直径1.91cm</w:t>
      </w:r>
    </w:p>
    <w:p>
      <w:pPr>
        <w:widowControl/>
        <w:numPr>
          <w:ilvl w:val="0"/>
          <w:numId w:val="1"/>
        </w:numPr>
        <w:spacing w:line="360" w:lineRule="exact"/>
        <w:ind w:left="0" w:firstLine="400" w:firstLineChars="20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重量：</w:t>
      </w:r>
      <w:r>
        <w:rPr>
          <w:rFonts w:ascii="微软雅黑" w:hAnsi="微软雅黑" w:eastAsia="微软雅黑" w:cs="微软雅黑"/>
          <w:sz w:val="20"/>
          <w:szCs w:val="20"/>
        </w:rPr>
        <w:t>363g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F24D"/>
    <w:multiLevelType w:val="singleLevel"/>
    <w:tmpl w:val="4858F2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1E598B"/>
    <w:rsid w:val="00290108"/>
    <w:rsid w:val="002B136F"/>
    <w:rsid w:val="0036539B"/>
    <w:rsid w:val="0039528C"/>
    <w:rsid w:val="0042643E"/>
    <w:rsid w:val="00531EC9"/>
    <w:rsid w:val="00730259"/>
    <w:rsid w:val="0083682B"/>
    <w:rsid w:val="00871355"/>
    <w:rsid w:val="008A32CB"/>
    <w:rsid w:val="008C032A"/>
    <w:rsid w:val="008D69DA"/>
    <w:rsid w:val="00A2330F"/>
    <w:rsid w:val="00A64B7D"/>
    <w:rsid w:val="00C058C4"/>
    <w:rsid w:val="00C63114"/>
    <w:rsid w:val="00DB0481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36D6242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link w:val="2"/>
    <w:qFormat/>
    <w:uiPriority w:val="9"/>
    <w:rPr>
      <w:rFonts w:ascii="微软雅黑" w:hAnsi="微软雅黑" w:eastAsia="微软雅黑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91</TotalTime>
  <ScaleCrop>false</ScaleCrop>
  <LinksUpToDate>false</LinksUpToDate>
  <CharactersWithSpaces>314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2020-02-12T08:06:30Z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