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247015</wp:posOffset>
            </wp:positionV>
            <wp:extent cx="4495800" cy="1685925"/>
            <wp:effectExtent l="0" t="0" r="0" b="9525"/>
            <wp:wrapTopAndBottom/>
            <wp:docPr id="1" name="图片 1" descr="QQ截图2020021115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2111510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  <w:t>EE181温湿度传感器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EE181是一款坚固耐用，精 确的气温和相对湿度（RH）探头，非常适合长期无人值守的应用。它在RH元件上包括专有涂层，可以延长该元件的寿命并保护其免受灰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尘，灰尘，盐分或其他污染物的侵害。 1000ΩPRT可以测量-40°至+ 60°C范围内的空气温度。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kern w:val="0"/>
          <w:sz w:val="20"/>
          <w:szCs w:val="20"/>
          <w:shd w:val="clear" w:fill="FFFFFF"/>
          <w:lang w:val="en-US" w:eastAsia="zh-CN" w:bidi="ar"/>
        </w:rPr>
        <w:t>兼容性--传感器支架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当暴露在阳光下时，EE181必须装在一块10板的太阳辐射防护罩中。坎贝尔公司推荐MetSpec RAD10E，它采用双百叶窗设计，可提供更好的传感器保护，以防雨，雪和昆虫入侵。这种屏蔽层在明亮的阳光下具有较低的自热性，并具有较高的温度（&gt; 24°C [〜75°F]）和低风速（&lt;2 m s-1 [〜4.5 mph]），可提供更好的测量结果。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EE181可与R. M. Young的10板辐射屏蔽罩（41003-5或41003-5A）配合使用，但是这些屏蔽罩需要特殊的适配器（pn 28415）来容纳传感器的周长。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kern w:val="0"/>
          <w:sz w:val="20"/>
          <w:szCs w:val="20"/>
          <w:shd w:val="clear" w:fill="FFFFFF"/>
          <w:lang w:val="en-US" w:eastAsia="zh-CN" w:bidi="ar"/>
        </w:rPr>
        <w:t>优点和特点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特别适合长期的无人值守的应用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精准, 坚固, 可靠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卓越的长期稳定性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工作温度范围广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用户可自行清洁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紧凑易于更换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低功耗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 w:right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0"/>
          <w:szCs w:val="20"/>
          <w:lang w:val="en-US" w:eastAsia="zh-CN"/>
        </w:rPr>
        <w:t>技术参数</w:t>
      </w:r>
    </w:p>
    <w:tbl>
      <w:tblPr>
        <w:tblW w:w="81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61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8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EE181温湿度传感器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8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温度</w:t>
            </w: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传感器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测量范围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-40 ~ 60℃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测量精度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±0.2℃（25℃时）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输出分辨率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0.1℃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8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相对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湿度</w:t>
            </w: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传感器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测量范围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 ~ 100% RH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测量精度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-15 ~ 40℃时：±（1.3+0.003*RH读数）%RH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(0 ~ 90%RH) ；±2.3%RH (90~100%RH)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-25 ~ 60℃时：±（1.4+0.01*RH读数）%RH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-45~60℃时：±（1.5+0.015*RH读数）%RH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温度依赖性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典型：0.03%RH/℃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响应时间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&lt;2s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8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其他技术参数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供电电压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7~30Vdc（推荐使用数据采集器的12Vdc接口）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电流消耗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1.2mA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工作温度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-40 ~ 70℃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尺寸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长16cm，直径2.1cm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6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290g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CB37"/>
    <w:multiLevelType w:val="singleLevel"/>
    <w:tmpl w:val="2E2BCB3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31EC9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A8B01C0"/>
    <w:rsid w:val="1B4B150A"/>
    <w:rsid w:val="1C8F2794"/>
    <w:rsid w:val="202D73B8"/>
    <w:rsid w:val="240F6297"/>
    <w:rsid w:val="24C33941"/>
    <w:rsid w:val="26644040"/>
    <w:rsid w:val="2B9410EF"/>
    <w:rsid w:val="2D136D2B"/>
    <w:rsid w:val="2EAF3864"/>
    <w:rsid w:val="313271DA"/>
    <w:rsid w:val="314075E9"/>
    <w:rsid w:val="32841E88"/>
    <w:rsid w:val="392E2379"/>
    <w:rsid w:val="39D44469"/>
    <w:rsid w:val="3D242B97"/>
    <w:rsid w:val="3F0F7301"/>
    <w:rsid w:val="3F58383E"/>
    <w:rsid w:val="41CB1A69"/>
    <w:rsid w:val="45720C84"/>
    <w:rsid w:val="45781606"/>
    <w:rsid w:val="46FF7B5E"/>
    <w:rsid w:val="4A7956F3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6B5A7A9B"/>
    <w:rsid w:val="6EC55C1C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C4DF7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1064A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1064A0"/>
      <w:u w:val="none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10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2020-02-11T07:13:05Z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