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hd w:val="clear" w:color="auto" w:fill="FFFFFF"/>
        <w:spacing w:line="360" w:lineRule="exact"/>
        <w:jc w:val="left"/>
        <w:rPr>
          <w:rFonts w:ascii="微软雅黑" w:hAnsi="微软雅黑" w:eastAsia="微软雅黑" w:cs="微软雅黑"/>
          <w:b/>
          <w:bCs w:val="0"/>
          <w:color w:val="000000"/>
          <w:kern w:val="0"/>
          <w:sz w:val="20"/>
          <w:szCs w:val="20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 w:val="0"/>
          <w:color w:val="0070C0"/>
          <w:sz w:val="28"/>
          <w:szCs w:val="28"/>
        </w:rPr>
        <w:t>土壤剖面</w:t>
      </w:r>
      <w:r>
        <w:rPr>
          <w:rFonts w:ascii="微软雅黑" w:hAnsi="微软雅黑" w:eastAsia="微软雅黑" w:cs="微软雅黑"/>
          <w:b/>
          <w:bCs w:val="0"/>
          <w:color w:val="0070C0"/>
          <w:sz w:val="28"/>
          <w:szCs w:val="28"/>
        </w:rPr>
        <w:t>CO2廓线测量系统</w:t>
      </w:r>
    </w:p>
    <w:p>
      <w:pPr>
        <w:widowControl/>
        <w:shd w:val="clear" w:color="auto" w:fill="FFFFFF"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土壤空气中CO2主要来源于土壤呼吸,其浓度主要决定于生物因素(植物根系、土壤微生物活性等)和环境因素(土壤温度、含水量等)。研究了解土壤空气CO2浓度剖面分布、季节动态及其影响因素,有助于人们认识土壤中CO2产生、累积、输运以及向大气排放的生物和物理过程。</w:t>
      </w:r>
    </w:p>
    <w:p>
      <w:pPr>
        <w:widowControl/>
        <w:shd w:val="clear" w:color="auto" w:fill="FFFFFF"/>
        <w:spacing w:line="360" w:lineRule="exact"/>
        <w:ind w:firstLine="210" w:firstLineChars="100"/>
        <w:jc w:val="left"/>
        <w:rPr>
          <w:rFonts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/>
          <w:b w:val="0"/>
          <w:bCs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155575</wp:posOffset>
            </wp:positionH>
            <wp:positionV relativeFrom="page">
              <wp:posOffset>2273935</wp:posOffset>
            </wp:positionV>
            <wp:extent cx="4874260" cy="3178810"/>
            <wp:effectExtent l="0" t="0" r="2540" b="2540"/>
            <wp:wrapNone/>
            <wp:docPr id="1" name="图片 1" descr="图片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6-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hd w:val="clear" w:color="auto" w:fill="FFFFFF"/>
        <w:spacing w:line="360" w:lineRule="exact"/>
        <w:ind w:firstLine="200" w:firstLineChars="100"/>
        <w:jc w:val="left"/>
        <w:rPr>
          <w:rFonts w:hint="eastAsia" w:ascii="微软雅黑" w:hAnsi="微软雅黑" w:eastAsia="微软雅黑" w:cs="微软雅黑"/>
          <w:b w:val="0"/>
          <w:bCs/>
          <w:color w:val="000000"/>
          <w:kern w:val="0"/>
          <w:sz w:val="20"/>
          <w:szCs w:val="20"/>
          <w:shd w:val="clear" w:color="auto" w:fill="FFFFFF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  <w:bookmarkStart w:id="0" w:name="_GoBack"/>
      <w:bookmarkEnd w:id="0"/>
    </w:p>
    <w:p>
      <w:pPr>
        <w:widowControl/>
        <w:spacing w:line="360" w:lineRule="exact"/>
        <w:jc w:val="left"/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</w:rPr>
        <w:t>系统优点</w:t>
      </w:r>
    </w:p>
    <w:p>
      <w:pPr>
        <w:widowControl/>
        <w:shd w:val="clear" w:color="auto" w:fill="FFFFFF"/>
        <w:spacing w:line="360" w:lineRule="exact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相较于传感器分层埋入法，该系统具有如下优点：</w:t>
      </w:r>
    </w:p>
    <w:p>
      <w:pPr>
        <w:widowControl/>
        <w:numPr>
          <w:ilvl w:val="0"/>
          <w:numId w:val="1"/>
        </w:numPr>
        <w:spacing w:line="360" w:lineRule="exact"/>
        <w:ind w:left="0" w:firstLine="400" w:firstLineChars="200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使用一个分析仪分析多层数据,没有系统误差</w:t>
      </w:r>
    </w:p>
    <w:p>
      <w:pPr>
        <w:widowControl/>
        <w:numPr>
          <w:ilvl w:val="0"/>
          <w:numId w:val="1"/>
        </w:numPr>
        <w:spacing w:line="360" w:lineRule="exact"/>
        <w:ind w:left="0" w:firstLine="400" w:firstLineChars="200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 xml:space="preserve">可以更换其他测量要素分析仪,如:碳氧同位素,N2O,CH4等  </w:t>
      </w:r>
    </w:p>
    <w:p>
      <w:pPr>
        <w:widowControl/>
        <w:numPr>
          <w:ilvl w:val="0"/>
          <w:numId w:val="1"/>
        </w:numPr>
        <w:spacing w:line="360" w:lineRule="exact"/>
        <w:ind w:left="0" w:firstLine="400" w:firstLineChars="200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梯度测量内容,更灵活的实验</w:t>
      </w:r>
    </w:p>
    <w:p>
      <w:pPr>
        <w:widowControl/>
        <w:numPr>
          <w:ilvl w:val="0"/>
          <w:numId w:val="1"/>
        </w:numPr>
        <w:spacing w:line="360" w:lineRule="exact"/>
        <w:ind w:left="0" w:firstLine="400" w:firstLineChars="200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 xml:space="preserve">不破坏土壤原位                           </w:t>
      </w:r>
    </w:p>
    <w:p>
      <w:pPr>
        <w:widowControl/>
        <w:numPr>
          <w:ilvl w:val="0"/>
          <w:numId w:val="1"/>
        </w:numPr>
        <w:spacing w:line="360" w:lineRule="exact"/>
        <w:ind w:left="0" w:firstLine="400" w:firstLineChars="200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保持实验的原始状态</w:t>
      </w:r>
    </w:p>
    <w:p>
      <w:pPr>
        <w:widowControl/>
        <w:spacing w:line="360" w:lineRule="exact"/>
        <w:jc w:val="left"/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</w:rPr>
        <w:t>系统测定方法</w:t>
      </w:r>
    </w:p>
    <w:p>
      <w:pPr>
        <w:widowControl/>
        <w:numPr>
          <w:ilvl w:val="0"/>
          <w:numId w:val="1"/>
        </w:numPr>
        <w:spacing w:line="360" w:lineRule="exact"/>
        <w:ind w:left="0" w:firstLine="400" w:firstLineChars="200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传感器埋入法：土壤分层埋入传感器，做防水透气处理</w:t>
      </w:r>
    </w:p>
    <w:p>
      <w:pPr>
        <w:widowControl/>
        <w:numPr>
          <w:ilvl w:val="0"/>
          <w:numId w:val="1"/>
        </w:numPr>
        <w:spacing w:line="360" w:lineRule="exact"/>
        <w:ind w:left="0" w:firstLine="400" w:firstLineChars="200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分析仪/泵吸式传感器吸气多路分析法：利用一个多路控制器，通过抽气防水，把多层气体抽入分析仪进行分析</w:t>
      </w:r>
    </w:p>
    <w:p>
      <w:pPr>
        <w:widowControl/>
        <w:numPr>
          <w:ilvl w:val="0"/>
          <w:numId w:val="1"/>
        </w:numPr>
        <w:spacing w:line="360" w:lineRule="exact"/>
        <w:ind w:left="0" w:firstLine="400" w:firstLineChars="200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人工监测：</w:t>
      </w: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  <w:r>
        <w:rPr>
          <w:b w:val="0"/>
          <w:bCs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2981960</wp:posOffset>
            </wp:positionH>
            <wp:positionV relativeFrom="page">
              <wp:posOffset>1110615</wp:posOffset>
            </wp:positionV>
            <wp:extent cx="2294890" cy="171640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  <w:r>
        <w:rPr>
          <w:b w:val="0"/>
          <w:bCs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264795</wp:posOffset>
            </wp:positionH>
            <wp:positionV relativeFrom="page">
              <wp:posOffset>1371600</wp:posOffset>
            </wp:positionV>
            <wp:extent cx="2277110" cy="171640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</w:rPr>
        <w:t>系统运行</w:t>
      </w:r>
      <w:r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  <w:t>原理</w:t>
      </w: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  <w:r>
        <w:rPr>
          <w:b w:val="0"/>
          <w:bCs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-123190</wp:posOffset>
            </wp:positionH>
            <wp:positionV relativeFrom="page">
              <wp:posOffset>3733165</wp:posOffset>
            </wp:positionV>
            <wp:extent cx="2673985" cy="20447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0"/>
          <w:bCs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2688590</wp:posOffset>
            </wp:positionH>
            <wp:positionV relativeFrom="page">
              <wp:posOffset>3864610</wp:posOffset>
            </wp:positionV>
            <wp:extent cx="2837815" cy="197548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091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ind w:firstLine="1050" w:firstLineChars="5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  <w:r>
        <w:rPr>
          <w:rFonts w:hint="eastAsia"/>
          <w:b w:val="0"/>
          <w:bCs/>
        </w:rPr>
        <w:t xml:space="preserve">系统运行原理图               </w:t>
      </w:r>
      <w:r>
        <w:rPr>
          <w:b w:val="0"/>
          <w:bCs/>
        </w:rPr>
        <w:t xml:space="preserve"> CO2 </w:t>
      </w:r>
      <w:r>
        <w:rPr>
          <w:rFonts w:hint="eastAsia"/>
          <w:b w:val="0"/>
          <w:bCs/>
        </w:rPr>
        <w:t>扩散率和土壤</w:t>
      </w:r>
      <w:r>
        <w:rPr>
          <w:b w:val="0"/>
          <w:bCs/>
        </w:rPr>
        <w:t xml:space="preserve">CO2 </w:t>
      </w:r>
      <w:r>
        <w:rPr>
          <w:rFonts w:hint="eastAsia"/>
          <w:b w:val="0"/>
          <w:bCs/>
        </w:rPr>
        <w:t>响应平衡时间测试</w:t>
      </w:r>
    </w:p>
    <w:p>
      <w:pPr>
        <w:widowControl/>
        <w:spacing w:line="360" w:lineRule="exact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</w:p>
    <w:p>
      <w:pPr>
        <w:widowControl/>
        <w:spacing w:line="360" w:lineRule="exact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</w:rPr>
        <w:t>土壤CO2通量计算定律</w:t>
      </w:r>
    </w:p>
    <w:p>
      <w:pPr>
        <w:widowControl/>
        <w:shd w:val="clear" w:color="auto" w:fill="FFFFFF"/>
        <w:spacing w:line="360" w:lineRule="exact"/>
        <w:ind w:firstLine="400" w:firstLineChars="200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菲克第一定律：根据菲克第一定律(Fick’s first law)，在（稳态扩散的情况下）单位时间内通过垂直于扩散方向的单位截面积的扩散物质流量（称为扩散通量Diffusion flux，用J表示）与该截面处的浓度梯度(Concentration gradient)成正比。土壤剖面CO2通量（μmol CO2 m-2s-1）即根据该定律求出，具体计算公式为：J= -D(dC/dx)</w:t>
      </w:r>
    </w:p>
    <w:p>
      <w:pPr>
        <w:widowControl/>
        <w:spacing w:line="360" w:lineRule="exact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</w:rPr>
        <w:t>系统组成</w:t>
      </w:r>
    </w:p>
    <w:p>
      <w:pPr>
        <w:widowControl/>
        <w:numPr>
          <w:ilvl w:val="0"/>
          <w:numId w:val="1"/>
        </w:numPr>
        <w:spacing w:line="360" w:lineRule="exact"/>
        <w:ind w:left="0" w:firstLine="400" w:firstLineChars="200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 xml:space="preserve">数据采集单元                </w:t>
      </w:r>
    </w:p>
    <w:p>
      <w:pPr>
        <w:widowControl/>
        <w:numPr>
          <w:ilvl w:val="0"/>
          <w:numId w:val="1"/>
        </w:numPr>
        <w:spacing w:line="360" w:lineRule="exact"/>
        <w:ind w:left="0" w:firstLine="400" w:firstLineChars="200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CO2传感器：</w:t>
      </w:r>
    </w:p>
    <w:p>
      <w:pPr>
        <w:widowControl/>
        <w:spacing w:line="360" w:lineRule="exact"/>
        <w:ind w:left="400" w:firstLine="300" w:firstLineChars="150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 xml:space="preserve">  CO2分析仪SBA5/LI840       </w:t>
      </w:r>
    </w:p>
    <w:p>
      <w:pPr>
        <w:widowControl/>
        <w:numPr>
          <w:ilvl w:val="0"/>
          <w:numId w:val="1"/>
        </w:numPr>
        <w:spacing w:line="360" w:lineRule="exact"/>
        <w:ind w:left="0" w:firstLine="400" w:firstLineChars="200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 xml:space="preserve">多路阀及循环泵控制器  </w:t>
      </w:r>
    </w:p>
    <w:p>
      <w:pPr>
        <w:widowControl/>
        <w:numPr>
          <w:ilvl w:val="0"/>
          <w:numId w:val="1"/>
        </w:numPr>
        <w:spacing w:line="360" w:lineRule="exact"/>
        <w:ind w:left="0" w:firstLine="400" w:firstLineChars="200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 xml:space="preserve">过滤装置、抽气泵            </w:t>
      </w:r>
    </w:p>
    <w:p>
      <w:pPr>
        <w:widowControl/>
        <w:numPr>
          <w:ilvl w:val="0"/>
          <w:numId w:val="1"/>
        </w:numPr>
        <w:spacing w:line="360" w:lineRule="exact"/>
        <w:ind w:left="0" w:firstLine="400" w:firstLineChars="200"/>
        <w:jc w:val="left"/>
        <w:rPr>
          <w:rFonts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通讯单元、数据处理软件</w:t>
      </w:r>
    </w:p>
    <w:p>
      <w:pPr>
        <w:widowControl/>
        <w:spacing w:line="360" w:lineRule="exact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</w:p>
    <w:p>
      <w:pPr>
        <w:widowControl/>
        <w:spacing w:line="360" w:lineRule="exact"/>
        <w:jc w:val="left"/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</w:rPr>
        <w:t>技术</w:t>
      </w:r>
      <w:r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  <w:t>参数</w:t>
      </w:r>
    </w:p>
    <w:tbl>
      <w:tblPr>
        <w:tblStyle w:val="7"/>
        <w:tblW w:w="82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9"/>
        <w:gridCol w:w="6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7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分析仪</w:t>
            </w:r>
          </w:p>
        </w:tc>
        <w:tc>
          <w:tcPr>
            <w:tcW w:w="660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非色散红外线气体分析仪与微芯片控制的线形化微处理器。红外仪具有"自动调零"专利技术。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7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CO2测量范围</w:t>
            </w:r>
          </w:p>
        </w:tc>
        <w:tc>
          <w:tcPr>
            <w:tcW w:w="660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八个量程供选择（用户需选择一个测量范围），读数根据温度与压力自动更正。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7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</w:p>
        </w:tc>
        <w:tc>
          <w:tcPr>
            <w:tcW w:w="660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0~5000 ppm（µmol mol-1），0~10000 ppm（µmol mol-1），0~20000 ppm（µmol mol-1），0~30000 ppm（µmol mol-1）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7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</w:p>
        </w:tc>
        <w:tc>
          <w:tcPr>
            <w:tcW w:w="660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高 量 程：0~50000 ppm（µmol mol-1），0~100000 ppm（µmol mol-1）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7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CO2精确度</w:t>
            </w:r>
          </w:p>
        </w:tc>
        <w:tc>
          <w:tcPr>
            <w:tcW w:w="660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1000ppm±0.1%，2000ppm±0.1%，5000ppm±0.5%，程范围内，优于读数的1%。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7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压力补偿</w:t>
            </w:r>
          </w:p>
        </w:tc>
        <w:tc>
          <w:tcPr>
            <w:tcW w:w="660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60 kPa -115kPa。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7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预热时间</w:t>
            </w:r>
          </w:p>
        </w:tc>
        <w:tc>
          <w:tcPr>
            <w:tcW w:w="660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5-15分钟（根据外界环境温度）。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7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响应时间</w:t>
            </w:r>
          </w:p>
        </w:tc>
        <w:tc>
          <w:tcPr>
            <w:tcW w:w="660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显示/模拟输出小于1.0秒。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7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采样泵及频率</w:t>
            </w:r>
          </w:p>
        </w:tc>
        <w:tc>
          <w:tcPr>
            <w:tcW w:w="660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整合式空气采样泵，通过编程实现动态以及静态采样；10Hz采样数据每1秒平均后输出。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7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气体流速</w:t>
            </w:r>
          </w:p>
        </w:tc>
        <w:tc>
          <w:tcPr>
            <w:tcW w:w="660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100-1000cc/min， 最佳流速范围300-350cc/min（cc/min与ml/min等值单位）。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7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接线端口</w:t>
            </w:r>
          </w:p>
        </w:tc>
        <w:tc>
          <w:tcPr>
            <w:tcW w:w="660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12针输入与输出采用接口。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7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环境传感器输入</w:t>
            </w:r>
          </w:p>
        </w:tc>
        <w:tc>
          <w:tcPr>
            <w:tcW w:w="660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单路传感器输入通道（0-1V）。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7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电源供应</w:t>
            </w:r>
          </w:p>
        </w:tc>
        <w:tc>
          <w:tcPr>
            <w:tcW w:w="660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6-18V直流。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79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电能电耗</w:t>
            </w:r>
          </w:p>
        </w:tc>
        <w:tc>
          <w:tcPr>
            <w:tcW w:w="660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</w:rPr>
              <w:t>预热阶段8W（8V@1.0A）；正常运行1.3W（12V@0.1A）。</w:t>
            </w:r>
          </w:p>
        </w:tc>
      </w:tr>
    </w:tbl>
    <w:p>
      <w:pPr>
        <w:widowControl/>
        <w:spacing w:line="360" w:lineRule="exact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</w:rPr>
        <w:t>系统安装</w:t>
      </w:r>
    </w:p>
    <w:p>
      <w:pPr>
        <w:widowControl/>
        <w:shd w:val="clear" w:color="auto" w:fill="FFFFFF"/>
        <w:spacing w:line="360" w:lineRule="exact"/>
        <w:jc w:val="left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424180</wp:posOffset>
            </wp:positionV>
            <wp:extent cx="2557780" cy="1772285"/>
            <wp:effectExtent l="0" t="0" r="13970" b="1841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采样探头-透气管的安装方法</w:t>
      </w:r>
    </w:p>
    <w:p>
      <w:pPr>
        <w:widowControl/>
        <w:shd w:val="clear" w:color="auto" w:fill="FFFFFF"/>
        <w:spacing w:line="360" w:lineRule="exact"/>
        <w:jc w:val="left"/>
        <w:rPr>
          <w:rFonts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210820</wp:posOffset>
            </wp:positionV>
            <wp:extent cx="2303145" cy="1735455"/>
            <wp:effectExtent l="0" t="0" r="1905" b="1714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CO2 Analyzer and datalogger：</w:t>
      </w:r>
    </w:p>
    <w:p>
      <w:pPr>
        <w:widowControl/>
        <w:shd w:val="clear" w:color="auto" w:fill="FFFFFF"/>
        <w:spacing w:line="360" w:lineRule="exact"/>
        <w:ind w:firstLine="400" w:firstLineChars="200"/>
        <w:jc w:val="left"/>
        <w:rPr>
          <w:rFonts w:ascii="微软雅黑" w:hAnsi="微软雅黑" w:eastAsia="微软雅黑" w:cs="微软雅黑"/>
          <w:b w:val="0"/>
          <w:bCs/>
          <w:color w:val="0070C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SBA-5 CO2/O2 Analyzer                                LI840 CO2/H2O Analyzer</w:t>
      </w:r>
    </w:p>
    <w:sectPr>
      <w:headerReference r:id="rId3" w:type="default"/>
      <w:footerReference r:id="rId4" w:type="default"/>
      <w:pgSz w:w="11906" w:h="16838"/>
      <w:pgMar w:top="1701" w:right="1797" w:bottom="1985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9ADCE"/>
    <w:multiLevelType w:val="singleLevel"/>
    <w:tmpl w:val="2B39ADC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90108"/>
    <w:rsid w:val="00170E5C"/>
    <w:rsid w:val="00172975"/>
    <w:rsid w:val="00186970"/>
    <w:rsid w:val="00290108"/>
    <w:rsid w:val="002B136F"/>
    <w:rsid w:val="0036539B"/>
    <w:rsid w:val="003945E4"/>
    <w:rsid w:val="003E080D"/>
    <w:rsid w:val="0041326E"/>
    <w:rsid w:val="0042643E"/>
    <w:rsid w:val="00531EC9"/>
    <w:rsid w:val="005D612F"/>
    <w:rsid w:val="00605BB4"/>
    <w:rsid w:val="00730259"/>
    <w:rsid w:val="00736109"/>
    <w:rsid w:val="007A1C46"/>
    <w:rsid w:val="007E193D"/>
    <w:rsid w:val="008A32CB"/>
    <w:rsid w:val="008C032A"/>
    <w:rsid w:val="008E78C1"/>
    <w:rsid w:val="00B07D59"/>
    <w:rsid w:val="00B47B22"/>
    <w:rsid w:val="00B932B0"/>
    <w:rsid w:val="00BA5B95"/>
    <w:rsid w:val="00BB0942"/>
    <w:rsid w:val="00BE22A7"/>
    <w:rsid w:val="00BF7FFA"/>
    <w:rsid w:val="00C63114"/>
    <w:rsid w:val="00D27D1F"/>
    <w:rsid w:val="00DB0481"/>
    <w:rsid w:val="00E008AA"/>
    <w:rsid w:val="00E37837"/>
    <w:rsid w:val="00E8038B"/>
    <w:rsid w:val="00E86172"/>
    <w:rsid w:val="00ED4CD6"/>
    <w:rsid w:val="0267757A"/>
    <w:rsid w:val="036830F1"/>
    <w:rsid w:val="05C46530"/>
    <w:rsid w:val="05C96CA8"/>
    <w:rsid w:val="091D3400"/>
    <w:rsid w:val="0AD51955"/>
    <w:rsid w:val="0BFD609C"/>
    <w:rsid w:val="0CF55FAE"/>
    <w:rsid w:val="0D277BCB"/>
    <w:rsid w:val="0D604EB6"/>
    <w:rsid w:val="0F606193"/>
    <w:rsid w:val="10232A98"/>
    <w:rsid w:val="187E3DCC"/>
    <w:rsid w:val="1B4B150A"/>
    <w:rsid w:val="202D73B8"/>
    <w:rsid w:val="24C33941"/>
    <w:rsid w:val="26644040"/>
    <w:rsid w:val="27907B66"/>
    <w:rsid w:val="2B9410EF"/>
    <w:rsid w:val="2D136D2B"/>
    <w:rsid w:val="32841E88"/>
    <w:rsid w:val="392E2379"/>
    <w:rsid w:val="39D44469"/>
    <w:rsid w:val="3F0F7301"/>
    <w:rsid w:val="3F58383E"/>
    <w:rsid w:val="41CB1A69"/>
    <w:rsid w:val="45720C84"/>
    <w:rsid w:val="45781606"/>
    <w:rsid w:val="50EB2940"/>
    <w:rsid w:val="5B151F57"/>
    <w:rsid w:val="5BD94C1B"/>
    <w:rsid w:val="5D25471B"/>
    <w:rsid w:val="5E730534"/>
    <w:rsid w:val="61462BC5"/>
    <w:rsid w:val="619E20CF"/>
    <w:rsid w:val="66085008"/>
    <w:rsid w:val="67E93377"/>
    <w:rsid w:val="68BB1949"/>
    <w:rsid w:val="6A830F36"/>
    <w:rsid w:val="70B061B0"/>
    <w:rsid w:val="71A47A92"/>
    <w:rsid w:val="72950A18"/>
    <w:rsid w:val="738D5EBE"/>
    <w:rsid w:val="73BC6F40"/>
    <w:rsid w:val="755E7850"/>
    <w:rsid w:val="76170C44"/>
    <w:rsid w:val="76A359B4"/>
    <w:rsid w:val="77A5749F"/>
    <w:rsid w:val="785E6017"/>
    <w:rsid w:val="78A01355"/>
    <w:rsid w:val="79AD3802"/>
    <w:rsid w:val="79C96C23"/>
    <w:rsid w:val="7AE06395"/>
    <w:rsid w:val="7D82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jc w:val="left"/>
      <w:outlineLvl w:val="0"/>
    </w:pPr>
    <w:rPr>
      <w:rFonts w:ascii="微软雅黑" w:hAnsi="微软雅黑" w:eastAsia="微软雅黑" w:cs="Times New Roman"/>
      <w:color w:val="0188DE"/>
      <w:kern w:val="44"/>
      <w:sz w:val="66"/>
      <w:szCs w:val="6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FollowedHyperlink"/>
    <w:basedOn w:val="8"/>
    <w:semiHidden/>
    <w:unhideWhenUsed/>
    <w:qFormat/>
    <w:uiPriority w:val="99"/>
    <w:rPr>
      <w:color w:val="1064A0"/>
      <w:u w:val="none"/>
    </w:rPr>
  </w:style>
  <w:style w:type="character" w:styleId="11">
    <w:name w:val="Emphasis"/>
    <w:basedOn w:val="8"/>
    <w:qFormat/>
    <w:uiPriority w:val="20"/>
  </w:style>
  <w:style w:type="character" w:styleId="12">
    <w:name w:val="Hyperlink"/>
    <w:basedOn w:val="8"/>
    <w:semiHidden/>
    <w:unhideWhenUsed/>
    <w:qFormat/>
    <w:uiPriority w:val="99"/>
    <w:rPr>
      <w:color w:val="1064A0"/>
      <w:u w:val="none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5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225</Words>
  <Characters>1283</Characters>
  <Lines>10</Lines>
  <Paragraphs>3</Paragraphs>
  <TotalTime>96</TotalTime>
  <ScaleCrop>false</ScaleCrop>
  <LinksUpToDate>false</LinksUpToDate>
  <CharactersWithSpaces>1505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2019-01-15T03:14:00Z</dcterms:created>
  <dc:creator>lidan</dc:creator>
  <cp:lastModifiedBy>Administrator</cp:lastModifiedBy>
  <dcterms:modified xsi:type="dcterms:W3CDTF">2020-02-12T08:34:44Z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