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E16" w:rsidRDefault="00173AF3">
      <w:pPr>
        <w:spacing w:line="360" w:lineRule="exact"/>
        <w:jc w:val="left"/>
        <w:rPr>
          <w:rFonts w:ascii="微软雅黑" w:eastAsia="微软雅黑" w:hAnsi="微软雅黑" w:cs="微软雅黑"/>
          <w:b/>
          <w:bCs/>
          <w:color w:val="0070C0"/>
          <w:sz w:val="28"/>
          <w:szCs w:val="28"/>
        </w:rPr>
      </w:pPr>
      <w:r>
        <w:rPr>
          <w:rFonts w:hint="eastAsia"/>
          <w:noProof/>
        </w:rPr>
        <w:drawing>
          <wp:anchor distT="0" distB="0" distL="114300" distR="114300" simplePos="0" relativeHeight="251759616" behindDoc="0" locked="0" layoutInCell="1" allowOverlap="1">
            <wp:simplePos x="0" y="0"/>
            <wp:positionH relativeFrom="column">
              <wp:posOffset>3724910</wp:posOffset>
            </wp:positionH>
            <wp:positionV relativeFrom="paragraph">
              <wp:posOffset>177165</wp:posOffset>
            </wp:positionV>
            <wp:extent cx="1264285" cy="1264285"/>
            <wp:effectExtent l="0" t="0" r="12065" b="12065"/>
            <wp:wrapTopAndBottom/>
            <wp:docPr id="1" name="图片 2" descr="图片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2-13"/>
                    <pic:cNvPicPr>
                      <a:picLocks noChangeAspect="1"/>
                    </pic:cNvPicPr>
                  </pic:nvPicPr>
                  <pic:blipFill>
                    <a:blip r:embed="rId8"/>
                    <a:stretch>
                      <a:fillRect/>
                    </a:stretch>
                  </pic:blipFill>
                  <pic:spPr>
                    <a:xfrm>
                      <a:off x="0" y="0"/>
                      <a:ext cx="1264285" cy="1264285"/>
                    </a:xfrm>
                    <a:prstGeom prst="rect">
                      <a:avLst/>
                    </a:prstGeom>
                    <a:noFill/>
                    <a:ln>
                      <a:noFill/>
                    </a:ln>
                  </pic:spPr>
                </pic:pic>
              </a:graphicData>
            </a:graphic>
          </wp:anchor>
        </w:drawing>
      </w:r>
    </w:p>
    <w:p w:rsidR="00647E16" w:rsidRDefault="00173AF3">
      <w:pPr>
        <w:spacing w:line="360" w:lineRule="exact"/>
        <w:jc w:val="left"/>
        <w:rPr>
          <w:rFonts w:ascii="微软雅黑" w:eastAsia="微软雅黑" w:hAnsi="微软雅黑" w:cs="微软雅黑"/>
          <w:b/>
          <w:bCs/>
          <w:color w:val="0070C0"/>
          <w:sz w:val="28"/>
          <w:szCs w:val="28"/>
        </w:rPr>
      </w:pPr>
      <w:r>
        <w:rPr>
          <w:rFonts w:ascii="微软雅黑" w:eastAsia="微软雅黑" w:hAnsi="微软雅黑" w:cs="微软雅黑"/>
          <w:b/>
          <w:bCs/>
          <w:color w:val="0070C0"/>
          <w:sz w:val="28"/>
          <w:szCs w:val="28"/>
        </w:rPr>
        <w:t>CS320热电堆总辐射表</w:t>
      </w:r>
    </w:p>
    <w:p w:rsidR="00647E16" w:rsidRDefault="00647E16">
      <w:pPr>
        <w:widowControl/>
        <w:shd w:val="clear" w:color="auto" w:fill="FFFFFF"/>
        <w:spacing w:line="360" w:lineRule="exact"/>
        <w:jc w:val="left"/>
        <w:rPr>
          <w:rFonts w:ascii="微软雅黑" w:eastAsia="微软雅黑" w:hAnsi="微软雅黑" w:cs="微软雅黑"/>
          <w:color w:val="000000"/>
          <w:kern w:val="0"/>
          <w:sz w:val="20"/>
          <w:szCs w:val="20"/>
          <w:shd w:val="clear" w:color="auto" w:fill="FFFFFF"/>
        </w:rPr>
      </w:pPr>
    </w:p>
    <w:p w:rsidR="00647E16" w:rsidRDefault="00173AF3">
      <w:pPr>
        <w:spacing w:line="360" w:lineRule="exact"/>
        <w:ind w:firstLineChars="200" w:firstLine="400"/>
        <w:rPr>
          <w:rFonts w:ascii="微软雅黑" w:eastAsia="微软雅黑" w:hAnsi="微软雅黑"/>
          <w:sz w:val="20"/>
          <w:szCs w:val="20"/>
        </w:rPr>
      </w:pPr>
      <w:r>
        <w:rPr>
          <w:rFonts w:ascii="微软雅黑" w:eastAsia="微软雅黑" w:hAnsi="微软雅黑" w:hint="eastAsia"/>
          <w:sz w:val="20"/>
          <w:szCs w:val="20"/>
        </w:rPr>
        <w:t>CS320数字热电堆日射强度计是一款数字热电堆日射强度计，可测量广谱短波辐射，并通过简单的SDI-12协议与数据采集器进行通信。该传感器设计消除了可能对数据质量产生负面影响的测量误差和编程错误。</w:t>
      </w:r>
    </w:p>
    <w:p w:rsidR="00647E16" w:rsidRDefault="00173AF3">
      <w:pPr>
        <w:spacing w:line="360" w:lineRule="exact"/>
        <w:ind w:firstLineChars="200" w:firstLine="400"/>
        <w:rPr>
          <w:rFonts w:ascii="微软雅黑" w:eastAsia="微软雅黑" w:hAnsi="微软雅黑"/>
          <w:sz w:val="20"/>
          <w:szCs w:val="20"/>
        </w:rPr>
      </w:pPr>
      <w:r>
        <w:rPr>
          <w:rFonts w:ascii="微软雅黑" w:eastAsia="微软雅黑" w:hAnsi="微软雅黑" w:hint="eastAsia"/>
          <w:sz w:val="20"/>
          <w:szCs w:val="20"/>
        </w:rPr>
        <w:t>该太阳总辐射表设计用于显着改善全球太阳辐射测量（即使在多云条件下），也不会增加大量成本。CS320适用于从环境研究到农业到大型中尺度天气网络（</w:t>
      </w:r>
      <w:proofErr w:type="spellStart"/>
      <w:r>
        <w:rPr>
          <w:rFonts w:ascii="微软雅黑" w:eastAsia="微软雅黑" w:hAnsi="微软雅黑" w:hint="eastAsia"/>
          <w:sz w:val="20"/>
          <w:szCs w:val="20"/>
        </w:rPr>
        <w:t>mesonets</w:t>
      </w:r>
      <w:proofErr w:type="spellEnd"/>
      <w:r>
        <w:rPr>
          <w:rFonts w:ascii="微软雅黑" w:eastAsia="微软雅黑" w:hAnsi="微软雅黑" w:hint="eastAsia"/>
          <w:sz w:val="20"/>
          <w:szCs w:val="20"/>
        </w:rPr>
        <w:t>）的各种应用。</w:t>
      </w:r>
    </w:p>
    <w:p w:rsidR="00647E16" w:rsidRDefault="00173AF3">
      <w:pPr>
        <w:spacing w:line="360" w:lineRule="exact"/>
        <w:ind w:firstLineChars="200" w:firstLine="400"/>
        <w:rPr>
          <w:rFonts w:ascii="微软雅黑" w:eastAsia="微软雅黑" w:hAnsi="微软雅黑"/>
          <w:sz w:val="20"/>
          <w:szCs w:val="20"/>
        </w:rPr>
      </w:pPr>
      <w:r>
        <w:rPr>
          <w:rFonts w:ascii="微软雅黑" w:eastAsia="微软雅黑" w:hAnsi="微软雅黑" w:hint="eastAsia"/>
          <w:sz w:val="20"/>
          <w:szCs w:val="20"/>
        </w:rPr>
        <w:t>CS320数字热电堆日射强度</w:t>
      </w:r>
      <w:proofErr w:type="gramStart"/>
      <w:r>
        <w:rPr>
          <w:rFonts w:ascii="微软雅黑" w:eastAsia="微软雅黑" w:hAnsi="微软雅黑" w:hint="eastAsia"/>
          <w:sz w:val="20"/>
          <w:szCs w:val="20"/>
        </w:rPr>
        <w:t>计采用</w:t>
      </w:r>
      <w:proofErr w:type="gramEnd"/>
      <w:r>
        <w:rPr>
          <w:rFonts w:ascii="微软雅黑" w:eastAsia="微软雅黑" w:hAnsi="微软雅黑" w:hint="eastAsia"/>
          <w:sz w:val="20"/>
          <w:szCs w:val="20"/>
        </w:rPr>
        <w:t>上等阳极氧化</w:t>
      </w:r>
      <w:proofErr w:type="gramStart"/>
      <w:r>
        <w:rPr>
          <w:rFonts w:ascii="微软雅黑" w:eastAsia="微软雅黑" w:hAnsi="微软雅黑" w:hint="eastAsia"/>
          <w:sz w:val="20"/>
          <w:szCs w:val="20"/>
        </w:rPr>
        <w:t>铝主体</w:t>
      </w:r>
      <w:proofErr w:type="gramEnd"/>
      <w:r>
        <w:rPr>
          <w:rFonts w:ascii="微软雅黑" w:eastAsia="微软雅黑" w:hAnsi="微软雅黑" w:hint="eastAsia"/>
          <w:sz w:val="20"/>
          <w:szCs w:val="20"/>
        </w:rPr>
        <w:t>和IP68级316不锈钢M8连接器（船用级）制造。CS320传感器被加热（在用户控制下可开/关切换），可在不断变化的环境条件下连续运行。日射强度计的校准数据存储在传感器上。</w:t>
      </w:r>
    </w:p>
    <w:p w:rsidR="00647E16" w:rsidRDefault="00173AF3" w:rsidP="007D0C2D">
      <w:pPr>
        <w:spacing w:line="360" w:lineRule="exact"/>
        <w:rPr>
          <w:rFonts w:ascii="微软雅黑" w:eastAsia="微软雅黑" w:hAnsi="微软雅黑"/>
          <w:color w:val="0070C0"/>
          <w:sz w:val="20"/>
          <w:szCs w:val="20"/>
        </w:rPr>
      </w:pPr>
      <w:bookmarkStart w:id="0" w:name="_GoBack"/>
      <w:bookmarkEnd w:id="0"/>
      <w:r>
        <w:rPr>
          <w:rFonts w:ascii="微软雅黑" w:eastAsia="微软雅黑" w:hAnsi="微软雅黑" w:hint="eastAsia"/>
          <w:color w:val="0070C0"/>
          <w:sz w:val="20"/>
          <w:szCs w:val="20"/>
        </w:rPr>
        <w:t>工作原理</w:t>
      </w:r>
    </w:p>
    <w:p w:rsidR="00647E16" w:rsidRDefault="00173AF3">
      <w:pPr>
        <w:spacing w:line="360" w:lineRule="exact"/>
        <w:ind w:firstLineChars="200" w:firstLine="400"/>
        <w:rPr>
          <w:rFonts w:ascii="微软雅黑" w:eastAsia="微软雅黑" w:hAnsi="微软雅黑"/>
          <w:sz w:val="20"/>
          <w:szCs w:val="20"/>
        </w:rPr>
      </w:pPr>
      <w:r>
        <w:rPr>
          <w:rFonts w:ascii="微软雅黑" w:eastAsia="微软雅黑" w:hAnsi="微软雅黑" w:hint="eastAsia"/>
          <w:sz w:val="20"/>
          <w:szCs w:val="20"/>
        </w:rPr>
        <w:t>CS320结合了黑体热电堆探测器和丙烯酸扩散器。与硅光电管太阳总辐射表的光谱响应相比，这种设计是一项重大改进，同时提供了可比的价格。热电堆日射强度计使用一系列热电结（遵循热电偶原理的两种不同金属的多个结），以提供与黑色吸收表面和参考之间的温度差成比例的几μV/ W / m 2的信号。热电堆日射强度计的黑色表面均匀地吸收太阳光谱上的太阳辐射。0.2 W加热器可将水（液体和冷冻）从传感器上移开，以*大限度地减少因露水，霜冻，雨水和积雪阻挡辐射路径而导致的误差。露天和雨水径流由圆顶形传感器头（扩散器和主体）提供。这样可以保持传感器清洁，并</w:t>
      </w:r>
      <w:r w:rsidR="007D0C2D">
        <w:rPr>
          <w:rFonts w:ascii="微软雅黑" w:eastAsia="微软雅黑" w:hAnsi="微软雅黑" w:hint="eastAsia"/>
          <w:sz w:val="20"/>
          <w:szCs w:val="20"/>
        </w:rPr>
        <w:t>最</w:t>
      </w:r>
      <w:r>
        <w:rPr>
          <w:rFonts w:ascii="微软雅黑" w:eastAsia="微软雅黑" w:hAnsi="微软雅黑" w:hint="eastAsia"/>
          <w:sz w:val="20"/>
          <w:szCs w:val="20"/>
        </w:rPr>
        <w:t>大限度地减少灰尘阻挡辐射路径所造成的误差 传感器采用坚固的阳极氧化铝制机身，电子元件完全封装。</w:t>
      </w:r>
    </w:p>
    <w:p w:rsidR="00647E16" w:rsidRDefault="00173AF3">
      <w:pPr>
        <w:spacing w:line="360" w:lineRule="exact"/>
        <w:ind w:firstLineChars="200" w:firstLine="400"/>
        <w:rPr>
          <w:rFonts w:ascii="微软雅黑" w:eastAsia="微软雅黑" w:hAnsi="微软雅黑"/>
          <w:sz w:val="20"/>
          <w:szCs w:val="20"/>
        </w:rPr>
      </w:pPr>
      <w:r>
        <w:rPr>
          <w:rFonts w:ascii="微软雅黑" w:eastAsia="微软雅黑" w:hAnsi="微软雅黑" w:hint="eastAsia"/>
          <w:sz w:val="20"/>
          <w:szCs w:val="20"/>
        </w:rPr>
        <w:t>CS320日射强度计具有在自定义校准过程中确定的传感器特定校准系数。系数在工厂编程到微控制器中。CS320具有SDI-12输出（SDI-12版本1.4），其中短波辐射（W / m 2）以数字格式返回。测量CS320日射强度计需要具有SDI-12功能的测量设备，其中包括M或C命令。</w:t>
      </w:r>
    </w:p>
    <w:p w:rsidR="00647E16" w:rsidRDefault="00173AF3">
      <w:pPr>
        <w:widowControl/>
        <w:spacing w:line="360" w:lineRule="exact"/>
        <w:jc w:val="left"/>
        <w:rPr>
          <w:rFonts w:ascii="微软雅黑" w:eastAsia="微软雅黑" w:hAnsi="微软雅黑" w:cs="微软雅黑"/>
          <w:color w:val="0070C0"/>
          <w:sz w:val="20"/>
          <w:szCs w:val="20"/>
        </w:rPr>
      </w:pPr>
      <w:r>
        <w:rPr>
          <w:rFonts w:ascii="微软雅黑" w:eastAsia="微软雅黑" w:hAnsi="微软雅黑" w:cs="微软雅黑" w:hint="eastAsia"/>
          <w:color w:val="0070C0"/>
          <w:sz w:val="20"/>
          <w:szCs w:val="20"/>
        </w:rPr>
        <w:t>产品特点</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hint="eastAsia"/>
          <w:sz w:val="20"/>
          <w:szCs w:val="20"/>
        </w:rPr>
        <w:t>热电堆传感器消除了与硅电池太阳总辐射表相关的光谱误差</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hint="eastAsia"/>
          <w:sz w:val="20"/>
          <w:szCs w:val="20"/>
        </w:rPr>
        <w:t>价格比其他热电堆传感器低得多</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proofErr w:type="gramStart"/>
      <w:r>
        <w:rPr>
          <w:rFonts w:ascii="微软雅黑" w:eastAsia="微软雅黑" w:hAnsi="微软雅黑" w:hint="eastAsia"/>
          <w:sz w:val="20"/>
          <w:szCs w:val="20"/>
        </w:rPr>
        <w:t>板载传感器</w:t>
      </w:r>
      <w:proofErr w:type="gramEnd"/>
      <w:r>
        <w:rPr>
          <w:rFonts w:ascii="微软雅黑" w:eastAsia="微软雅黑" w:hAnsi="微软雅黑" w:hint="eastAsia"/>
          <w:sz w:val="20"/>
          <w:szCs w:val="20"/>
        </w:rPr>
        <w:t>可自动检测CS320是否达到安装，诊断和远程故障排除的水平</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hint="eastAsia"/>
          <w:sz w:val="20"/>
          <w:szCs w:val="20"/>
        </w:rPr>
        <w:t>专为长期稳定性和部署而设计</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hint="eastAsia"/>
          <w:sz w:val="20"/>
          <w:szCs w:val="20"/>
        </w:rPr>
        <w:t>圆顶形状的传感器</w:t>
      </w:r>
      <w:proofErr w:type="gramStart"/>
      <w:r>
        <w:rPr>
          <w:rFonts w:ascii="微软雅黑" w:eastAsia="微软雅黑" w:hAnsi="微软雅黑" w:hint="eastAsia"/>
          <w:sz w:val="20"/>
          <w:szCs w:val="20"/>
        </w:rPr>
        <w:t>头允许</w:t>
      </w:r>
      <w:proofErr w:type="gramEnd"/>
      <w:r>
        <w:rPr>
          <w:rFonts w:ascii="微软雅黑" w:eastAsia="微软雅黑" w:hAnsi="微软雅黑" w:hint="eastAsia"/>
          <w:sz w:val="20"/>
          <w:szCs w:val="20"/>
        </w:rPr>
        <w:t>露水和雨水径流</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hint="eastAsia"/>
          <w:sz w:val="20"/>
          <w:szCs w:val="20"/>
        </w:rPr>
        <w:t>内部加热器，以减少露水，霜冻，雨和雪的错误</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hint="eastAsia"/>
          <w:sz w:val="20"/>
          <w:szCs w:val="20"/>
        </w:rPr>
        <w:lastRenderedPageBreak/>
        <w:t>SDI-12数字输出</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hint="eastAsia"/>
          <w:sz w:val="20"/>
          <w:szCs w:val="20"/>
        </w:rPr>
        <w:t>传感器头可拆卸防水接头，维修快捷方便</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hint="eastAsia"/>
          <w:sz w:val="20"/>
          <w:szCs w:val="20"/>
        </w:rPr>
        <w:t>校准数据存储在传感器上</w:t>
      </w:r>
    </w:p>
    <w:p w:rsidR="00647E16" w:rsidRDefault="00173AF3">
      <w:pPr>
        <w:widowControl/>
        <w:spacing w:line="360" w:lineRule="exact"/>
        <w:jc w:val="left"/>
        <w:rPr>
          <w:rFonts w:ascii="微软雅黑" w:eastAsia="微软雅黑" w:hAnsi="微软雅黑" w:cs="微软雅黑"/>
          <w:sz w:val="20"/>
          <w:szCs w:val="20"/>
        </w:rPr>
      </w:pPr>
      <w:r>
        <w:rPr>
          <w:rFonts w:ascii="微软雅黑" w:eastAsia="微软雅黑" w:hAnsi="微软雅黑" w:cs="微软雅黑" w:hint="eastAsia"/>
          <w:color w:val="0070C0"/>
          <w:sz w:val="20"/>
          <w:szCs w:val="20"/>
        </w:rPr>
        <w:t>技术参数</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微软雅黑" w:hint="eastAsia"/>
          <w:sz w:val="20"/>
          <w:szCs w:val="20"/>
        </w:rPr>
        <w:t>最大工作范围：0</w:t>
      </w:r>
      <w:bookmarkStart w:id="1" w:name="OLE_LINK7"/>
      <w:r>
        <w:rPr>
          <w:rFonts w:ascii="微软雅黑" w:eastAsia="微软雅黑" w:hAnsi="微软雅黑" w:cs="微软雅黑" w:hint="eastAsia"/>
          <w:sz w:val="20"/>
          <w:szCs w:val="20"/>
        </w:rPr>
        <w:t>～</w:t>
      </w:r>
      <w:bookmarkEnd w:id="1"/>
      <w:r>
        <w:rPr>
          <w:rFonts w:ascii="微软雅黑" w:eastAsia="微软雅黑" w:hAnsi="微软雅黑" w:cs="微软雅黑" w:hint="eastAsia"/>
          <w:sz w:val="20"/>
          <w:szCs w:val="20"/>
        </w:rPr>
        <w:t>60m/s</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校准不确定度</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±2.6％</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测量范围</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0至2000 W / m </w:t>
      </w:r>
      <w:r>
        <w:rPr>
          <w:rFonts w:ascii="微软雅黑" w:eastAsia="微软雅黑" w:hAnsi="微软雅黑" w:cs="宋体" w:hint="eastAsia"/>
          <w:kern w:val="0"/>
          <w:sz w:val="20"/>
          <w:szCs w:val="20"/>
          <w:vertAlign w:val="superscript"/>
        </w:rPr>
        <w:t>2</w:t>
      </w:r>
      <w:r>
        <w:rPr>
          <w:rFonts w:ascii="微软雅黑" w:eastAsia="微软雅黑" w:hAnsi="微软雅黑" w:cs="宋体" w:hint="eastAsia"/>
          <w:kern w:val="0"/>
          <w:sz w:val="20"/>
          <w:szCs w:val="20"/>
        </w:rPr>
        <w:t>（净短波辐照度）</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测量重复性</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&lt;1％</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长期漂移</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&lt;2％（每年）</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非 线 性</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&lt;1％</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探测器类型</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黑体热电堆</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SDI-12响应时间</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2秒</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视场（FOV）</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180°</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光谱范围</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385至2105 nm（50％点）</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定向（余弦）响应</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&lt;±20 W / m </w:t>
      </w:r>
      <w:r>
        <w:rPr>
          <w:rFonts w:ascii="微软雅黑" w:eastAsia="微软雅黑" w:hAnsi="微软雅黑" w:cs="宋体" w:hint="eastAsia"/>
          <w:kern w:val="0"/>
          <w:sz w:val="20"/>
          <w:szCs w:val="20"/>
          <w:vertAlign w:val="superscript"/>
        </w:rPr>
        <w:t>2</w:t>
      </w:r>
      <w:r>
        <w:rPr>
          <w:rFonts w:ascii="微软雅黑" w:eastAsia="微软雅黑" w:hAnsi="微软雅黑" w:cs="宋体" w:hint="eastAsia"/>
          <w:kern w:val="0"/>
          <w:sz w:val="20"/>
          <w:szCs w:val="20"/>
        </w:rPr>
        <w:t>（在80°太阳天顶）</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温度响应</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&lt;5％（-15°至+ 45°C）</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产    量</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SDI-12（版本1.4）1200 bps</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零偏移A.</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8 W / m </w:t>
      </w:r>
      <w:r>
        <w:rPr>
          <w:rFonts w:ascii="微软雅黑" w:eastAsia="微软雅黑" w:hAnsi="微软雅黑" w:cs="宋体" w:hint="eastAsia"/>
          <w:kern w:val="0"/>
          <w:sz w:val="20"/>
          <w:szCs w:val="20"/>
          <w:vertAlign w:val="superscript"/>
        </w:rPr>
        <w:t>2</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零偏移B.</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&lt;5 W / m </w:t>
      </w:r>
      <w:r>
        <w:rPr>
          <w:rFonts w:ascii="微软雅黑" w:eastAsia="微软雅黑" w:hAnsi="微软雅黑" w:cs="宋体" w:hint="eastAsia"/>
          <w:kern w:val="0"/>
          <w:sz w:val="20"/>
          <w:szCs w:val="20"/>
          <w:vertAlign w:val="superscript"/>
        </w:rPr>
        <w:t>2</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操作环境</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-50°至+ 50°C（0至相对湿度）</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加 热 器</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0.2 W（板载）</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加热器电源要求</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25 mA电流消耗（12 Vdc时）</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输入电压要求</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6至24伏直流电</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目前的排水</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5 mA（测量）</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微软雅黑"/>
          <w:sz w:val="20"/>
          <w:szCs w:val="20"/>
        </w:rPr>
        <w:t xml:space="preserve">            </w:t>
      </w:r>
      <w:r>
        <w:rPr>
          <w:rFonts w:ascii="微软雅黑" w:eastAsia="微软雅黑" w:hAnsi="微软雅黑" w:cs="宋体" w:hint="eastAsia"/>
          <w:kern w:val="0"/>
          <w:sz w:val="20"/>
          <w:szCs w:val="20"/>
        </w:rPr>
        <w:t>3 mA（待机）</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总计的不确定性</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&lt;5％</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由</w:t>
      </w:r>
      <w:proofErr w:type="gramStart"/>
      <w:r>
        <w:rPr>
          <w:rFonts w:ascii="微软雅黑" w:eastAsia="微软雅黑" w:hAnsi="微软雅黑" w:cs="宋体" w:hint="eastAsia"/>
          <w:kern w:val="0"/>
          <w:sz w:val="20"/>
          <w:szCs w:val="20"/>
        </w:rPr>
        <w:t>云引起</w:t>
      </w:r>
      <w:proofErr w:type="gramEnd"/>
      <w:r>
        <w:rPr>
          <w:rFonts w:ascii="微软雅黑" w:eastAsia="微软雅黑" w:hAnsi="微软雅黑" w:cs="宋体" w:hint="eastAsia"/>
          <w:kern w:val="0"/>
          <w:sz w:val="20"/>
          <w:szCs w:val="20"/>
        </w:rPr>
        <w:t>的错误</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±2％</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机械等级</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IP66 / 68</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工厂校准</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可追溯到瑞士达沃斯的可追溯到世界辐射参考的二级标准黑体热电堆日射强度计。</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保    证</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4年，防止材料和工艺上的缺陷</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 xml:space="preserve">直 </w:t>
      </w:r>
      <w:r>
        <w:rPr>
          <w:rFonts w:ascii="微软雅黑" w:eastAsia="微软雅黑" w:hAnsi="微软雅黑" w:cs="宋体"/>
          <w:kern w:val="0"/>
          <w:sz w:val="20"/>
          <w:szCs w:val="20"/>
        </w:rPr>
        <w:t xml:space="preserve">   </w:t>
      </w:r>
      <w:r>
        <w:rPr>
          <w:rFonts w:ascii="微软雅黑" w:eastAsia="微软雅黑" w:hAnsi="微软雅黑" w:cs="宋体" w:hint="eastAsia"/>
          <w:kern w:val="0"/>
          <w:sz w:val="20"/>
          <w:szCs w:val="20"/>
        </w:rPr>
        <w:t>径</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3.43厘米（1.35英寸）</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高    度</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3.96厘米（1.56英寸）</w:t>
      </w:r>
    </w:p>
    <w:p w:rsidR="00647E16" w:rsidRDefault="00173AF3">
      <w:pPr>
        <w:widowControl/>
        <w:numPr>
          <w:ilvl w:val="0"/>
          <w:numId w:val="1"/>
        </w:numPr>
        <w:spacing w:line="360" w:lineRule="exact"/>
        <w:ind w:left="0" w:firstLineChars="200" w:firstLine="400"/>
        <w:jc w:val="left"/>
        <w:rPr>
          <w:rFonts w:ascii="微软雅黑" w:eastAsia="微软雅黑" w:hAnsi="微软雅黑" w:cs="微软雅黑"/>
          <w:sz w:val="20"/>
          <w:szCs w:val="20"/>
        </w:rPr>
      </w:pPr>
      <w:r>
        <w:rPr>
          <w:rFonts w:ascii="微软雅黑" w:eastAsia="微软雅黑" w:hAnsi="微软雅黑" w:cs="宋体" w:hint="eastAsia"/>
          <w:kern w:val="0"/>
          <w:sz w:val="20"/>
          <w:szCs w:val="20"/>
        </w:rPr>
        <w:t>重    量</w:t>
      </w:r>
      <w:r>
        <w:rPr>
          <w:rFonts w:ascii="微软雅黑" w:eastAsia="微软雅黑" w:hAnsi="微软雅黑" w:cs="宋体"/>
          <w:kern w:val="0"/>
          <w:sz w:val="20"/>
          <w:szCs w:val="20"/>
        </w:rPr>
        <w:t>：</w:t>
      </w:r>
      <w:r>
        <w:rPr>
          <w:rFonts w:ascii="微软雅黑" w:eastAsia="微软雅黑" w:hAnsi="微软雅黑" w:cs="宋体" w:hint="eastAsia"/>
          <w:kern w:val="0"/>
          <w:sz w:val="20"/>
          <w:szCs w:val="20"/>
        </w:rPr>
        <w:t>~65克（2.3盎司）可能因</w:t>
      </w:r>
      <w:r w:rsidR="00D24DE6">
        <w:rPr>
          <w:rFonts w:ascii="微软雅黑" w:eastAsia="微软雅黑" w:hAnsi="微软雅黑" w:cs="宋体" w:hint="eastAsia"/>
          <w:kern w:val="0"/>
          <w:sz w:val="20"/>
          <w:szCs w:val="20"/>
        </w:rPr>
        <w:t>封装</w:t>
      </w:r>
      <w:r>
        <w:rPr>
          <w:rFonts w:ascii="微软雅黑" w:eastAsia="微软雅黑" w:hAnsi="微软雅黑" w:cs="宋体" w:hint="eastAsia"/>
          <w:kern w:val="0"/>
          <w:sz w:val="20"/>
          <w:szCs w:val="20"/>
        </w:rPr>
        <w:t>有所不同。</w:t>
      </w:r>
    </w:p>
    <w:p w:rsidR="00647E16" w:rsidRDefault="00647E16">
      <w:pPr>
        <w:widowControl/>
        <w:spacing w:line="360" w:lineRule="exact"/>
        <w:ind w:firstLineChars="200" w:firstLine="400"/>
        <w:jc w:val="left"/>
        <w:rPr>
          <w:rFonts w:ascii="微软雅黑" w:eastAsia="微软雅黑" w:hAnsi="微软雅黑" w:cs="微软雅黑"/>
          <w:sz w:val="20"/>
          <w:szCs w:val="20"/>
        </w:rPr>
      </w:pPr>
    </w:p>
    <w:sectPr w:rsidR="00647E16">
      <w:headerReference w:type="default" r:id="rId9"/>
      <w:footerReference w:type="default" r:id="rId10"/>
      <w:pgSz w:w="11906" w:h="16838"/>
      <w:pgMar w:top="1701" w:right="1797" w:bottom="1985"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0EA" w:rsidRDefault="004D50EA">
      <w:r>
        <w:separator/>
      </w:r>
    </w:p>
  </w:endnote>
  <w:endnote w:type="continuationSeparator" w:id="0">
    <w:p w:rsidR="004D50EA" w:rsidRDefault="004D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E16" w:rsidRDefault="00173AF3">
    <w:pPr>
      <w:pStyle w:val="a5"/>
    </w:pPr>
    <w:r>
      <w:rPr>
        <w:noProof/>
      </w:rPr>
      <w:drawing>
        <wp:anchor distT="0" distB="0" distL="114300" distR="114300" simplePos="0" relativeHeight="251661312" behindDoc="0" locked="0" layoutInCell="1" allowOverlap="1">
          <wp:simplePos x="0" y="0"/>
          <wp:positionH relativeFrom="page">
            <wp:posOffset>-38100</wp:posOffset>
          </wp:positionH>
          <wp:positionV relativeFrom="paragraph">
            <wp:posOffset>-270510</wp:posOffset>
          </wp:positionV>
          <wp:extent cx="7712075" cy="1104265"/>
          <wp:effectExtent l="0" t="0" r="3175" b="63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2075" cy="11042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0EA" w:rsidRDefault="004D50EA">
      <w:r>
        <w:separator/>
      </w:r>
    </w:p>
  </w:footnote>
  <w:footnote w:type="continuationSeparator" w:id="0">
    <w:p w:rsidR="004D50EA" w:rsidRDefault="004D5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E16" w:rsidRDefault="00173AF3">
    <w:r>
      <w:rPr>
        <w:noProof/>
      </w:rPr>
      <w:drawing>
        <wp:anchor distT="0" distB="0" distL="114300" distR="114300" simplePos="0" relativeHeight="251660288" behindDoc="0" locked="0" layoutInCell="1" allowOverlap="1">
          <wp:simplePos x="0" y="0"/>
          <wp:positionH relativeFrom="page">
            <wp:posOffset>-252095</wp:posOffset>
          </wp:positionH>
          <wp:positionV relativeFrom="paragraph">
            <wp:posOffset>-554355</wp:posOffset>
          </wp:positionV>
          <wp:extent cx="7843520" cy="933450"/>
          <wp:effectExtent l="0" t="0" r="5080" b="63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43704" cy="9332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8F24D"/>
    <w:multiLevelType w:val="singleLevel"/>
    <w:tmpl w:val="4858F24D"/>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90108"/>
    <w:rsid w:val="00172975"/>
    <w:rsid w:val="00173AF3"/>
    <w:rsid w:val="001A30AB"/>
    <w:rsid w:val="00285B09"/>
    <w:rsid w:val="00290108"/>
    <w:rsid w:val="002B136F"/>
    <w:rsid w:val="0036539B"/>
    <w:rsid w:val="0042643E"/>
    <w:rsid w:val="00460AF7"/>
    <w:rsid w:val="004D50EA"/>
    <w:rsid w:val="00531EC9"/>
    <w:rsid w:val="00647E16"/>
    <w:rsid w:val="00730259"/>
    <w:rsid w:val="007D0C2D"/>
    <w:rsid w:val="00B66FE9"/>
    <w:rsid w:val="00B97F9D"/>
    <w:rsid w:val="00C63114"/>
    <w:rsid w:val="00D24DE6"/>
    <w:rsid w:val="00E5074E"/>
    <w:rsid w:val="00E8038B"/>
    <w:rsid w:val="00ED4CD6"/>
    <w:rsid w:val="0267757A"/>
    <w:rsid w:val="036830F1"/>
    <w:rsid w:val="05C46530"/>
    <w:rsid w:val="05C96CA8"/>
    <w:rsid w:val="091D3400"/>
    <w:rsid w:val="0AD51955"/>
    <w:rsid w:val="0BFD609C"/>
    <w:rsid w:val="0CF55FAE"/>
    <w:rsid w:val="0D277BCB"/>
    <w:rsid w:val="0D604EB6"/>
    <w:rsid w:val="0F606193"/>
    <w:rsid w:val="10232A98"/>
    <w:rsid w:val="187E3DCC"/>
    <w:rsid w:val="1B4B150A"/>
    <w:rsid w:val="1C8F2794"/>
    <w:rsid w:val="202D73B8"/>
    <w:rsid w:val="214031D4"/>
    <w:rsid w:val="24C33941"/>
    <w:rsid w:val="26644040"/>
    <w:rsid w:val="2B9410EF"/>
    <w:rsid w:val="2D136D2B"/>
    <w:rsid w:val="32841E88"/>
    <w:rsid w:val="392E2379"/>
    <w:rsid w:val="39D44469"/>
    <w:rsid w:val="3F0F7301"/>
    <w:rsid w:val="3F58383E"/>
    <w:rsid w:val="41CB1A69"/>
    <w:rsid w:val="45720C84"/>
    <w:rsid w:val="45781606"/>
    <w:rsid w:val="50EB2940"/>
    <w:rsid w:val="5B151F57"/>
    <w:rsid w:val="5BD94C1B"/>
    <w:rsid w:val="5E730534"/>
    <w:rsid w:val="61462BC5"/>
    <w:rsid w:val="619E20CF"/>
    <w:rsid w:val="66085008"/>
    <w:rsid w:val="67E93377"/>
    <w:rsid w:val="68BB1949"/>
    <w:rsid w:val="6A830F36"/>
    <w:rsid w:val="70B061B0"/>
    <w:rsid w:val="71A47A92"/>
    <w:rsid w:val="72950A18"/>
    <w:rsid w:val="738D5EBE"/>
    <w:rsid w:val="73BC6F40"/>
    <w:rsid w:val="755E7850"/>
    <w:rsid w:val="76170C44"/>
    <w:rsid w:val="76A359B4"/>
    <w:rsid w:val="77A5749F"/>
    <w:rsid w:val="785E6017"/>
    <w:rsid w:val="78A01355"/>
    <w:rsid w:val="79AD3802"/>
    <w:rsid w:val="79C96C23"/>
    <w:rsid w:val="7AE06395"/>
    <w:rsid w:val="7B573075"/>
    <w:rsid w:val="7D82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E760FF3"/>
  <w15:docId w15:val="{DB425B9D-4AAD-4127-9861-4391783C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jc w:val="left"/>
      <w:outlineLvl w:val="0"/>
    </w:pPr>
    <w:rPr>
      <w:rFonts w:ascii="微软雅黑" w:eastAsia="微软雅黑" w:hAnsi="微软雅黑" w:cs="Times New Roman"/>
      <w:color w:val="0188DE"/>
      <w:kern w:val="44"/>
      <w:sz w:val="66"/>
      <w:szCs w:val="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jc w:val="left"/>
    </w:pPr>
    <w:rPr>
      <w:rFonts w:cs="Times New Roman"/>
      <w:kern w:val="0"/>
      <w:sz w:val="24"/>
    </w:rPr>
  </w:style>
  <w:style w:type="character" w:styleId="aa">
    <w:name w:val="Strong"/>
    <w:basedOn w:val="a0"/>
    <w:uiPriority w:val="22"/>
    <w:qFormat/>
    <w:rPr>
      <w:b/>
    </w:rPr>
  </w:style>
  <w:style w:type="character" w:styleId="ab">
    <w:name w:val="FollowedHyperlink"/>
    <w:basedOn w:val="a0"/>
    <w:uiPriority w:val="99"/>
    <w:semiHidden/>
    <w:unhideWhenUsed/>
    <w:qFormat/>
    <w:rPr>
      <w:color w:val="1064A0"/>
      <w:u w:val="none"/>
    </w:rPr>
  </w:style>
  <w:style w:type="character" w:styleId="ac">
    <w:name w:val="Emphasis"/>
    <w:basedOn w:val="a0"/>
    <w:uiPriority w:val="20"/>
    <w:qFormat/>
  </w:style>
  <w:style w:type="character" w:styleId="ad">
    <w:name w:val="Hyperlink"/>
    <w:basedOn w:val="a0"/>
    <w:uiPriority w:val="99"/>
    <w:semiHidden/>
    <w:unhideWhenUsed/>
    <w:qFormat/>
    <w:rPr>
      <w:color w:val="1064A0"/>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15">
    <w:name w:val="15"/>
    <w:basedOn w:val="a0"/>
    <w:qFormat/>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lidan</dc:creator>
  <cp:lastModifiedBy>bai david</cp:lastModifiedBy>
  <cp:revision>8</cp:revision>
  <dcterms:created xsi:type="dcterms:W3CDTF">2019-01-15T03:14:00Z</dcterms:created>
  <dcterms:modified xsi:type="dcterms:W3CDTF">2020-02-25T12:51:00Z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