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C9" w:rsidRPr="001558C9" w:rsidRDefault="001558C9">
      <w:pPr>
        <w:spacing w:line="360" w:lineRule="exact"/>
        <w:jc w:val="left"/>
        <w:rPr>
          <w:rFonts w:ascii="微软雅黑" w:eastAsia="微软雅黑" w:hAnsi="微软雅黑" w:cs="微软雅黑"/>
          <w:b/>
          <w:bCs/>
          <w:color w:val="0070C0"/>
          <w:sz w:val="28"/>
          <w:szCs w:val="28"/>
        </w:rPr>
      </w:pPr>
      <w:r w:rsidRPr="001558C9">
        <w:rPr>
          <w:rFonts w:ascii="微软雅黑" w:eastAsia="微软雅黑" w:hAnsi="微软雅黑" w:hint="eastAsia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14605</wp:posOffset>
            </wp:positionV>
            <wp:extent cx="2421890" cy="1691005"/>
            <wp:effectExtent l="0" t="0" r="16510" b="4445"/>
            <wp:wrapTopAndBottom/>
            <wp:docPr id="1" name="图片 2" descr="图片2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图片2-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189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0F15" w:rsidRPr="001558C9" w:rsidRDefault="0080681A">
      <w:pPr>
        <w:spacing w:line="360" w:lineRule="exact"/>
        <w:jc w:val="left"/>
        <w:rPr>
          <w:rFonts w:ascii="微软雅黑" w:eastAsia="微软雅黑" w:hAnsi="微软雅黑" w:cs="微软雅黑"/>
          <w:b/>
          <w:bCs/>
          <w:color w:val="0070C0"/>
          <w:sz w:val="28"/>
          <w:szCs w:val="28"/>
        </w:rPr>
      </w:pPr>
      <w:r w:rsidRPr="001558C9">
        <w:rPr>
          <w:rFonts w:ascii="微软雅黑" w:eastAsia="微软雅黑" w:hAnsi="微软雅黑" w:cs="微软雅黑"/>
          <w:b/>
          <w:bCs/>
          <w:color w:val="0070C0"/>
          <w:sz w:val="28"/>
          <w:szCs w:val="28"/>
        </w:rPr>
        <w:t>LI-200R短波硅辐射传感器</w:t>
      </w:r>
    </w:p>
    <w:p w:rsidR="009F0F15" w:rsidRPr="001558C9" w:rsidRDefault="009F0F15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</w:rPr>
      </w:pPr>
    </w:p>
    <w:p w:rsidR="009F0F15" w:rsidRPr="001558C9" w:rsidRDefault="0080681A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 w:rsidRPr="001558C9">
        <w:rPr>
          <w:rFonts w:ascii="微软雅黑" w:eastAsia="微软雅黑" w:hAnsi="微软雅黑" w:hint="eastAsia"/>
          <w:sz w:val="20"/>
          <w:szCs w:val="20"/>
        </w:rPr>
        <w:t>LI-200R太阳总辐射传感器设计用于室外无遮挡日光的环境</w:t>
      </w:r>
      <w:r w:rsidR="00CA4D04" w:rsidRPr="001558C9">
        <w:rPr>
          <w:rFonts w:ascii="微软雅黑" w:eastAsia="微软雅黑" w:hAnsi="微软雅黑" w:hint="eastAsia"/>
          <w:sz w:val="20"/>
          <w:szCs w:val="20"/>
        </w:rPr>
        <w:t>，</w:t>
      </w:r>
      <w:proofErr w:type="gramStart"/>
      <w:r w:rsidRPr="001558C9">
        <w:rPr>
          <w:rFonts w:ascii="微软雅黑" w:eastAsia="微软雅黑" w:hAnsi="微软雅黑" w:hint="eastAsia"/>
          <w:sz w:val="20"/>
          <w:szCs w:val="20"/>
        </w:rPr>
        <w:t>测量总</w:t>
      </w:r>
      <w:proofErr w:type="gramEnd"/>
      <w:r w:rsidRPr="001558C9">
        <w:rPr>
          <w:rFonts w:ascii="微软雅黑" w:eastAsia="微软雅黑" w:hAnsi="微软雅黑" w:hint="eastAsia"/>
          <w:sz w:val="20"/>
          <w:szCs w:val="20"/>
        </w:rPr>
        <w:t>太阳辐射，包括直射和漫反射的太阳辐射，波长范围400~1100nm。测量结果单位为W/m2。LI-200R具有良好的兼容性，缆线长度有多种选择，兼容大多数数采。 LI-200R采用无过滤的硅光电二级管，在室外无遮挡自然光照情况下测量结果与一 级热电堆一致。传感器头部设计精巧，能快速导流雨水，能获得精准的余弦响应。</w:t>
      </w:r>
      <w:bookmarkStart w:id="0" w:name="_GoBack"/>
      <w:bookmarkEnd w:id="0"/>
    </w:p>
    <w:p w:rsidR="009F0F15" w:rsidRPr="001558C9" w:rsidRDefault="0080681A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 w:rsidRPr="001558C9">
        <w:rPr>
          <w:rFonts w:ascii="微软雅黑" w:eastAsia="微软雅黑" w:hAnsi="微软雅黑" w:cs="微软雅黑" w:hint="eastAsia"/>
          <w:color w:val="0070C0"/>
          <w:sz w:val="20"/>
          <w:szCs w:val="20"/>
        </w:rPr>
        <w:t>应用领域</w:t>
      </w:r>
    </w:p>
    <w:p w:rsidR="009F0F15" w:rsidRPr="001558C9" w:rsidRDefault="0080681A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>微气象研究</w:t>
      </w:r>
    </w:p>
    <w:p w:rsidR="009F0F15" w:rsidRPr="001558C9" w:rsidRDefault="0080681A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>能量平衡测量</w:t>
      </w:r>
    </w:p>
    <w:p w:rsidR="009F0F15" w:rsidRPr="001558C9" w:rsidRDefault="0080681A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>光伏系统最优化</w:t>
      </w:r>
    </w:p>
    <w:p w:rsidR="009F0F15" w:rsidRPr="001558C9" w:rsidRDefault="0080681A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>天气监测等</w:t>
      </w:r>
    </w:p>
    <w:p w:rsidR="009F0F15" w:rsidRPr="001558C9" w:rsidRDefault="0080681A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 w:rsidRPr="001558C9">
        <w:rPr>
          <w:rFonts w:ascii="微软雅黑" w:eastAsia="微软雅黑" w:hAnsi="微软雅黑" w:cs="微软雅黑" w:hint="eastAsia"/>
          <w:color w:val="0070C0"/>
          <w:sz w:val="20"/>
          <w:szCs w:val="20"/>
        </w:rPr>
        <w:t>产品特点</w:t>
      </w:r>
    </w:p>
    <w:p w:rsidR="009F0F15" w:rsidRPr="001558C9" w:rsidRDefault="0080681A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>耐受各种天气，能够牢固地在室外长期放置</w:t>
      </w:r>
    </w:p>
    <w:p w:rsidR="009F0F15" w:rsidRPr="001558C9" w:rsidRDefault="0080681A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>专为测量无遮挡自然条件下总太阳辐射设计</w:t>
      </w:r>
    </w:p>
    <w:p w:rsidR="009F0F15" w:rsidRPr="001558C9" w:rsidRDefault="0080681A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>入射角82°范围内保证灵敏度均一</w:t>
      </w:r>
    </w:p>
    <w:p w:rsidR="009F0F15" w:rsidRPr="001558C9" w:rsidRDefault="0080681A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>可拆卸传感器头部，且安装拆卸简便，方便维护校准</w:t>
      </w:r>
    </w:p>
    <w:p w:rsidR="009F0F15" w:rsidRPr="001558C9" w:rsidRDefault="0080681A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  <w:r w:rsidRPr="001558C9">
        <w:rPr>
          <w:rFonts w:ascii="微软雅黑" w:eastAsia="微软雅黑" w:hAnsi="微软雅黑" w:cs="微软雅黑" w:hint="eastAsia"/>
          <w:color w:val="0070C0"/>
          <w:sz w:val="20"/>
          <w:szCs w:val="20"/>
        </w:rPr>
        <w:t>技术参数</w:t>
      </w:r>
    </w:p>
    <w:p w:rsidR="009F0F15" w:rsidRPr="001558C9" w:rsidRDefault="0080681A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>绝对校准</w:t>
      </w:r>
      <w:r w:rsidRPr="001558C9">
        <w:rPr>
          <w:rFonts w:ascii="微软雅黑" w:eastAsia="微软雅黑" w:hAnsi="微软雅黑" w:cs="宋体"/>
          <w:kern w:val="0"/>
          <w:sz w:val="20"/>
          <w:szCs w:val="20"/>
        </w:rPr>
        <w:t>：</w:t>
      </w:r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>在自然日光下使用Eppley日照强度计（PSP）进行校准，</w:t>
      </w:r>
    </w:p>
    <w:p w:rsidR="009F0F15" w:rsidRPr="001558C9" w:rsidRDefault="0080681A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>典型误差：± 3%（入射角60°以内）</w:t>
      </w:r>
    </w:p>
    <w:p w:rsidR="009F0F15" w:rsidRPr="001558C9" w:rsidRDefault="0080681A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>灵 敏 度</w:t>
      </w:r>
      <w:r w:rsidRPr="001558C9">
        <w:rPr>
          <w:rFonts w:ascii="微软雅黑" w:eastAsia="微软雅黑" w:hAnsi="微软雅黑" w:cs="宋体"/>
          <w:kern w:val="0"/>
          <w:sz w:val="20"/>
          <w:szCs w:val="20"/>
        </w:rPr>
        <w:t>：</w:t>
      </w:r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>典型75 µA /1000 W/m2</w:t>
      </w:r>
    </w:p>
    <w:p w:rsidR="009F0F15" w:rsidRPr="001558C9" w:rsidRDefault="0080681A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>线 性 度</w:t>
      </w:r>
      <w:r w:rsidRPr="001558C9">
        <w:rPr>
          <w:rFonts w:ascii="微软雅黑" w:eastAsia="微软雅黑" w:hAnsi="微软雅黑" w:cs="宋体"/>
          <w:kern w:val="0"/>
          <w:sz w:val="20"/>
          <w:szCs w:val="20"/>
        </w:rPr>
        <w:t>：</w:t>
      </w:r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>最大偏差为1%(3000W/m²以内)</w:t>
      </w:r>
    </w:p>
    <w:p w:rsidR="009F0F15" w:rsidRPr="001558C9" w:rsidRDefault="0080681A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>响应时间</w:t>
      </w:r>
      <w:r w:rsidRPr="001558C9">
        <w:rPr>
          <w:rFonts w:ascii="微软雅黑" w:eastAsia="微软雅黑" w:hAnsi="微软雅黑" w:cs="宋体"/>
          <w:kern w:val="0"/>
          <w:sz w:val="20"/>
          <w:szCs w:val="20"/>
        </w:rPr>
        <w:t>：</w:t>
      </w:r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>&lt;1µs</w:t>
      </w:r>
    </w:p>
    <w:p w:rsidR="009F0F15" w:rsidRPr="001558C9" w:rsidRDefault="0080681A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>温度相关</w:t>
      </w:r>
      <w:r w:rsidRPr="001558C9">
        <w:rPr>
          <w:rFonts w:ascii="微软雅黑" w:eastAsia="微软雅黑" w:hAnsi="微软雅黑" w:cs="宋体"/>
          <w:kern w:val="0"/>
          <w:sz w:val="20"/>
          <w:szCs w:val="20"/>
        </w:rPr>
        <w:t>：</w:t>
      </w:r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>&lt;0.15%/℃</w:t>
      </w:r>
    </w:p>
    <w:p w:rsidR="009F0F15" w:rsidRPr="001558C9" w:rsidRDefault="0080681A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>余弦校正</w:t>
      </w:r>
      <w:r w:rsidRPr="001558C9">
        <w:rPr>
          <w:rFonts w:ascii="微软雅黑" w:eastAsia="微软雅黑" w:hAnsi="微软雅黑" w:cs="宋体"/>
          <w:kern w:val="0"/>
          <w:sz w:val="20"/>
          <w:szCs w:val="20"/>
        </w:rPr>
        <w:t>：</w:t>
      </w:r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>入射角82°以内</w:t>
      </w:r>
    </w:p>
    <w:p w:rsidR="009F0F15" w:rsidRPr="001558C9" w:rsidRDefault="0080681A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>方位角误差</w:t>
      </w:r>
      <w:r w:rsidRPr="001558C9">
        <w:rPr>
          <w:rFonts w:ascii="微软雅黑" w:eastAsia="微软雅黑" w:hAnsi="微软雅黑" w:cs="宋体"/>
          <w:kern w:val="0"/>
          <w:sz w:val="20"/>
          <w:szCs w:val="20"/>
        </w:rPr>
        <w:t>：</w:t>
      </w:r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>在45°仰角时，360°方位角范围内误差小于1%</w:t>
      </w:r>
    </w:p>
    <w:p w:rsidR="009F0F15" w:rsidRPr="001558C9" w:rsidRDefault="0080681A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>倾斜误差</w:t>
      </w:r>
      <w:r w:rsidRPr="001558C9">
        <w:rPr>
          <w:rFonts w:ascii="微软雅黑" w:eastAsia="微软雅黑" w:hAnsi="微软雅黑" w:cs="宋体"/>
          <w:kern w:val="0"/>
          <w:sz w:val="20"/>
          <w:szCs w:val="20"/>
        </w:rPr>
        <w:t>：</w:t>
      </w:r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>不会因固定方位而导致误差</w:t>
      </w:r>
    </w:p>
    <w:p w:rsidR="009F0F15" w:rsidRPr="001558C9" w:rsidRDefault="0080681A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>工作环境</w:t>
      </w:r>
      <w:r w:rsidRPr="001558C9">
        <w:rPr>
          <w:rFonts w:ascii="微软雅黑" w:eastAsia="微软雅黑" w:hAnsi="微软雅黑" w:cs="宋体"/>
          <w:kern w:val="0"/>
          <w:sz w:val="20"/>
          <w:szCs w:val="20"/>
        </w:rPr>
        <w:t>：</w:t>
      </w:r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>-40~65℃，0~95%RH（非冷凝）</w:t>
      </w:r>
    </w:p>
    <w:p w:rsidR="009F0F15" w:rsidRPr="001558C9" w:rsidRDefault="0080681A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lastRenderedPageBreak/>
        <w:t>检测器</w:t>
      </w:r>
      <w:r w:rsidRPr="001558C9">
        <w:rPr>
          <w:rFonts w:ascii="微软雅黑" w:eastAsia="微软雅黑" w:hAnsi="微软雅黑" w:cs="宋体"/>
          <w:kern w:val="0"/>
          <w:sz w:val="20"/>
          <w:szCs w:val="20"/>
        </w:rPr>
        <w:t>：</w:t>
      </w:r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>高</w:t>
      </w:r>
      <w:proofErr w:type="gramStart"/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>稳定性硅光伏</w:t>
      </w:r>
      <w:proofErr w:type="gramEnd"/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>检测器（蓝光加强）</w:t>
      </w:r>
    </w:p>
    <w:p w:rsidR="009F0F15" w:rsidRPr="001558C9" w:rsidRDefault="0080681A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>传感器外壳</w:t>
      </w:r>
      <w:r w:rsidRPr="001558C9">
        <w:rPr>
          <w:rFonts w:ascii="微软雅黑" w:eastAsia="微软雅黑" w:hAnsi="微软雅黑" w:cs="宋体"/>
          <w:kern w:val="0"/>
          <w:sz w:val="20"/>
          <w:szCs w:val="20"/>
        </w:rPr>
        <w:t>：</w:t>
      </w:r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>阳极铝防水外壳带丙烯酸漫射器，不锈钢螺丝；传感器基部带O型密封圈</w:t>
      </w:r>
    </w:p>
    <w:p w:rsidR="009F0F15" w:rsidRPr="001558C9" w:rsidRDefault="0080681A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proofErr w:type="gramStart"/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>尺</w:t>
      </w:r>
      <w:proofErr w:type="gramEnd"/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    寸</w:t>
      </w:r>
      <w:r w:rsidRPr="001558C9">
        <w:rPr>
          <w:rFonts w:ascii="微软雅黑" w:eastAsia="微软雅黑" w:hAnsi="微软雅黑" w:cs="宋体"/>
          <w:kern w:val="0"/>
          <w:sz w:val="20"/>
          <w:szCs w:val="20"/>
        </w:rPr>
        <w:t>：</w:t>
      </w:r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>2.36 Dia. x 3.63 cm H</w:t>
      </w:r>
    </w:p>
    <w:p w:rsidR="009F0F15" w:rsidRPr="001558C9" w:rsidRDefault="0080681A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重 </w:t>
      </w:r>
      <w:r w:rsidRPr="001558C9">
        <w:rPr>
          <w:rFonts w:ascii="微软雅黑" w:eastAsia="微软雅黑" w:hAnsi="微软雅黑" w:cs="宋体"/>
          <w:kern w:val="0"/>
          <w:sz w:val="20"/>
          <w:szCs w:val="20"/>
        </w:rPr>
        <w:t xml:space="preserve">  </w:t>
      </w:r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 量</w:t>
      </w:r>
      <w:r w:rsidRPr="001558C9">
        <w:rPr>
          <w:rFonts w:ascii="微软雅黑" w:eastAsia="微软雅黑" w:hAnsi="微软雅黑" w:cs="宋体"/>
          <w:kern w:val="0"/>
          <w:sz w:val="20"/>
          <w:szCs w:val="20"/>
        </w:rPr>
        <w:t>：</w:t>
      </w:r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>头部：24g； 2米线</w:t>
      </w:r>
      <w:r w:rsidR="00CA4D04"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>，</w:t>
      </w:r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>带螺丝底座：60g</w:t>
      </w:r>
    </w:p>
    <w:p w:rsidR="009F0F15" w:rsidRPr="001558C9" w:rsidRDefault="0080681A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>缆线长度</w:t>
      </w:r>
      <w:r w:rsidRPr="001558C9">
        <w:rPr>
          <w:rFonts w:ascii="微软雅黑" w:eastAsia="微软雅黑" w:hAnsi="微软雅黑" w:cs="宋体"/>
          <w:kern w:val="0"/>
          <w:sz w:val="20"/>
          <w:szCs w:val="20"/>
        </w:rPr>
        <w:t>：</w:t>
      </w:r>
      <w:r w:rsidRPr="001558C9">
        <w:rPr>
          <w:rFonts w:ascii="微软雅黑" w:eastAsia="微软雅黑" w:hAnsi="微软雅黑" w:cs="宋体" w:hint="eastAsia"/>
          <w:kern w:val="0"/>
          <w:sz w:val="20"/>
          <w:szCs w:val="20"/>
        </w:rPr>
        <w:t>2m,5m,15m,50m</w:t>
      </w:r>
    </w:p>
    <w:p w:rsidR="009F0F15" w:rsidRPr="001558C9" w:rsidRDefault="009F0F15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</w:p>
    <w:sectPr w:rsidR="009F0F15" w:rsidRPr="001558C9">
      <w:headerReference w:type="default" r:id="rId9"/>
      <w:footerReference w:type="default" r:id="rId10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715" w:rsidRDefault="002A3715">
      <w:r>
        <w:separator/>
      </w:r>
    </w:p>
  </w:endnote>
  <w:endnote w:type="continuationSeparator" w:id="0">
    <w:p w:rsidR="002A3715" w:rsidRDefault="002A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15" w:rsidRDefault="0080681A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715" w:rsidRDefault="002A3715">
      <w:r>
        <w:separator/>
      </w:r>
    </w:p>
  </w:footnote>
  <w:footnote w:type="continuationSeparator" w:id="0">
    <w:p w:rsidR="002A3715" w:rsidRDefault="002A3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15" w:rsidRDefault="0080681A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9ADCE"/>
    <w:multiLevelType w:val="singleLevel"/>
    <w:tmpl w:val="2B39ADC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4858F24D"/>
    <w:multiLevelType w:val="singleLevel"/>
    <w:tmpl w:val="4858F2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108"/>
    <w:rsid w:val="001558C9"/>
    <w:rsid w:val="00172975"/>
    <w:rsid w:val="00290108"/>
    <w:rsid w:val="002A3715"/>
    <w:rsid w:val="002B136F"/>
    <w:rsid w:val="0036539B"/>
    <w:rsid w:val="0042643E"/>
    <w:rsid w:val="00531EC9"/>
    <w:rsid w:val="00730259"/>
    <w:rsid w:val="00743FD1"/>
    <w:rsid w:val="007A4FEA"/>
    <w:rsid w:val="0080681A"/>
    <w:rsid w:val="009625E9"/>
    <w:rsid w:val="009F0F15"/>
    <w:rsid w:val="00A75273"/>
    <w:rsid w:val="00A77D57"/>
    <w:rsid w:val="00C63114"/>
    <w:rsid w:val="00CA4D04"/>
    <w:rsid w:val="00CB07CB"/>
    <w:rsid w:val="00D10D5C"/>
    <w:rsid w:val="00E8038B"/>
    <w:rsid w:val="00ED4CD6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1C8F2794"/>
    <w:rsid w:val="202D73B8"/>
    <w:rsid w:val="24C33941"/>
    <w:rsid w:val="26644040"/>
    <w:rsid w:val="2B9410EF"/>
    <w:rsid w:val="2D136D2B"/>
    <w:rsid w:val="32841E88"/>
    <w:rsid w:val="392E2379"/>
    <w:rsid w:val="39D44469"/>
    <w:rsid w:val="3D1F3886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02B1D12"/>
  <w15:docId w15:val="{DB425B9D-4AAD-4127-9861-4391783C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bai david</cp:lastModifiedBy>
  <cp:revision>7</cp:revision>
  <dcterms:created xsi:type="dcterms:W3CDTF">2019-01-15T03:14:00Z</dcterms:created>
  <dcterms:modified xsi:type="dcterms:W3CDTF">2020-02-25T12:46:00Z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