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A8" w:rsidRDefault="003A401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10160</wp:posOffset>
            </wp:positionV>
            <wp:extent cx="4458970" cy="1751330"/>
            <wp:effectExtent l="0" t="0" r="1778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9A8" w:rsidRDefault="003A401D">
      <w:pPr>
        <w:spacing w:line="360" w:lineRule="exact"/>
        <w:jc w:val="left"/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TDR200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土壤时域反射计</w:t>
      </w:r>
    </w:p>
    <w:p w:rsidR="004E5569" w:rsidRDefault="004E5569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:rsidR="006A69A8" w:rsidRPr="004E5569" w:rsidRDefault="004E5569" w:rsidP="004E5569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产品简介</w:t>
      </w:r>
    </w:p>
    <w:p w:rsidR="006A69A8" w:rsidRDefault="003A401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Tdr200</w:t>
      </w:r>
      <w:r>
        <w:rPr>
          <w:rFonts w:ascii="微软雅黑" w:eastAsia="微软雅黑" w:hAnsi="微软雅黑" w:cs="微软雅黑" w:hint="eastAsia"/>
          <w:sz w:val="20"/>
          <w:szCs w:val="20"/>
        </w:rPr>
        <w:t>时域反射计是坎贝尔科学时域反射计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tdr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</w:rPr>
        <w:t>系统的核心。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Tdr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系统准确地测定土壤体积含水量、土壤容重电导率、岩体变形或用户特定的时域测量。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一个坎贝尔科学数据记录器，可以控制多个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tdr200</w:t>
      </w:r>
      <w:r>
        <w:rPr>
          <w:rFonts w:ascii="微软雅黑" w:eastAsia="微软雅黑" w:hAnsi="微软雅黑" w:cs="微软雅黑" w:hint="eastAsia"/>
          <w:sz w:val="20"/>
          <w:szCs w:val="20"/>
        </w:rPr>
        <w:t>反射计。</w:t>
      </w:r>
    </w:p>
    <w:p w:rsidR="004E5569" w:rsidRDefault="004E556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</w:p>
    <w:p w:rsidR="004E5569" w:rsidRPr="004E5569" w:rsidRDefault="004E5569" w:rsidP="004E5569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产品技术特点</w:t>
      </w:r>
    </w:p>
    <w:p w:rsidR="004E5569" w:rsidRDefault="004E5569" w:rsidP="004E556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 w:rsidRPr="004E5569">
        <w:rPr>
          <w:rFonts w:ascii="微软雅黑" w:eastAsia="微软雅黑" w:hAnsi="微软雅黑" w:cs="微软雅黑" w:hint="eastAsia"/>
          <w:sz w:val="20"/>
          <w:szCs w:val="20"/>
        </w:rPr>
        <w:t>TDR200产生一个短时上升时间电磁脉冲，应用到一个包含测量土壤水分含量的TDR探针的同轴系统中，并对产生的反射波形进行采样和数字化分析和存储。板载处理器对于传导时间和反射脉冲振幅进行分析处理，能够快速、准确的确定土壤含水量、土壤体积导电率、岩体变形或用户自定义时域测量。数据采集器采集250个点的波形并在2s时间内进行分析。在岩体变形和坡面稳定性监测中，每个波形可以多达10,112 数据点对于线缆长度监测。高级的噪声过滤和平均保证了在噪音环境中可以进行精确的测量。</w:t>
      </w:r>
    </w:p>
    <w:p w:rsidR="004E5569" w:rsidRDefault="004E556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</w:p>
    <w:p w:rsidR="006A69A8" w:rsidRDefault="003A401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低功耗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高灵敏度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高分辨率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低噪音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先进的波形过滤器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先进的波形分析算法</w:t>
      </w:r>
    </w:p>
    <w:p w:rsidR="006A69A8" w:rsidRDefault="004E556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向下</w:t>
      </w:r>
      <w:r w:rsidR="003A401D">
        <w:rPr>
          <w:rFonts w:ascii="微软雅黑" w:eastAsia="微软雅黑" w:hAnsi="微软雅黑" w:cs="微软雅黑" w:hint="eastAsia"/>
          <w:sz w:val="20"/>
          <w:szCs w:val="20"/>
        </w:rPr>
        <w:t>兼容</w:t>
      </w:r>
      <w:r w:rsidR="003A401D">
        <w:rPr>
          <w:rFonts w:ascii="微软雅黑" w:eastAsia="微软雅黑" w:hAnsi="微软雅黑" w:cs="微软雅黑" w:hint="eastAsia"/>
          <w:sz w:val="20"/>
          <w:szCs w:val="20"/>
        </w:rPr>
        <w:t>TDR100</w:t>
      </w:r>
      <w:r w:rsidR="003A401D">
        <w:rPr>
          <w:rFonts w:ascii="微软雅黑" w:eastAsia="微软雅黑" w:hAnsi="微软雅黑" w:cs="微软雅黑" w:hint="eastAsia"/>
          <w:sz w:val="20"/>
          <w:szCs w:val="20"/>
        </w:rPr>
        <w:t>测量系统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60</w:t>
      </w:r>
      <w:r>
        <w:rPr>
          <w:rFonts w:ascii="微软雅黑" w:eastAsia="微软雅黑" w:hAnsi="微软雅黑" w:cs="微软雅黑" w:hint="eastAsia"/>
          <w:sz w:val="20"/>
          <w:szCs w:val="20"/>
        </w:rPr>
        <w:t>赫兹频率</w:t>
      </w:r>
    </w:p>
    <w:p w:rsidR="004E5569" w:rsidRDefault="004E5569" w:rsidP="004E5569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4E5569" w:rsidRDefault="004E5569">
      <w:pPr>
        <w:widowControl/>
        <w:spacing w:line="360" w:lineRule="exact"/>
        <w:jc w:val="left"/>
        <w:rPr>
          <w:rFonts w:ascii="微软雅黑" w:eastAsia="微软雅黑" w:hAnsi="微软雅黑" w:cs="微软雅黑" w:hint="eastAsia"/>
          <w:color w:val="0070C0"/>
          <w:sz w:val="20"/>
          <w:szCs w:val="20"/>
        </w:rPr>
      </w:pPr>
    </w:p>
    <w:p w:rsidR="004E5569" w:rsidRDefault="004E5569">
      <w:pPr>
        <w:widowControl/>
        <w:spacing w:line="360" w:lineRule="exact"/>
        <w:jc w:val="left"/>
        <w:rPr>
          <w:rFonts w:ascii="微软雅黑" w:eastAsia="微软雅黑" w:hAnsi="微软雅黑" w:cs="微软雅黑" w:hint="eastAsia"/>
          <w:color w:val="0070C0"/>
          <w:sz w:val="20"/>
          <w:szCs w:val="20"/>
        </w:rPr>
      </w:pPr>
    </w:p>
    <w:p w:rsidR="006A69A8" w:rsidRDefault="003A401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lastRenderedPageBreak/>
        <w:t>技术参数</w:t>
      </w:r>
      <w:bookmarkStart w:id="0" w:name="_GoBack"/>
      <w:bookmarkEnd w:id="0"/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脉冲发生器输出：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250 mV into 50 </w:t>
      </w:r>
      <w:r>
        <w:rPr>
          <w:rFonts w:ascii="微软雅黑" w:eastAsia="微软雅黑" w:hAnsi="微软雅黑" w:cs="微软雅黑" w:hint="eastAsia"/>
          <w:sz w:val="20"/>
          <w:szCs w:val="20"/>
        </w:rPr>
        <w:t>Ω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输出阻抗：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50 </w:t>
      </w:r>
      <w:r>
        <w:rPr>
          <w:rFonts w:ascii="微软雅黑" w:eastAsia="微软雅黑" w:hAnsi="微软雅黑" w:cs="微软雅黑" w:hint="eastAsia"/>
          <w:sz w:val="20"/>
          <w:szCs w:val="20"/>
        </w:rPr>
        <w:t>Ω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±</w:t>
      </w:r>
      <w:r>
        <w:rPr>
          <w:rFonts w:ascii="微软雅黑" w:eastAsia="微软雅黑" w:hAnsi="微软雅黑" w:cs="微软雅黑" w:hint="eastAsia"/>
          <w:sz w:val="20"/>
          <w:szCs w:val="20"/>
        </w:rPr>
        <w:t>1%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组合脉冲发生器和采样电路的时间响应：≤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85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ps</w:t>
      </w:r>
      <w:proofErr w:type="spellEnd"/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脉冲发生器像差：±</w:t>
      </w:r>
      <w:r>
        <w:rPr>
          <w:rFonts w:ascii="微软雅黑" w:eastAsia="微软雅黑" w:hAnsi="微软雅黑" w:cs="微软雅黑" w:hint="eastAsia"/>
          <w:sz w:val="20"/>
          <w:szCs w:val="20"/>
        </w:rPr>
        <w:t>16% (</w:t>
      </w:r>
      <w:r>
        <w:rPr>
          <w:rFonts w:ascii="微软雅黑" w:eastAsia="微软雅黑" w:hAnsi="微软雅黑" w:cs="微软雅黑" w:hint="eastAsia"/>
          <w:sz w:val="20"/>
          <w:szCs w:val="20"/>
        </w:rPr>
        <w:t>第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1 ns)</w:t>
      </w:r>
      <w:r>
        <w:rPr>
          <w:rFonts w:ascii="微软雅黑" w:eastAsia="微软雅黑" w:hAnsi="微软雅黑" w:cs="微软雅黑" w:hint="eastAsia"/>
          <w:sz w:val="20"/>
          <w:szCs w:val="20"/>
        </w:rPr>
        <w:t>；</w:t>
      </w:r>
      <w:r>
        <w:rPr>
          <w:rFonts w:ascii="微软雅黑" w:eastAsia="微软雅黑" w:hAnsi="微软雅黑" w:cs="微软雅黑"/>
          <w:sz w:val="20"/>
          <w:szCs w:val="20"/>
        </w:rPr>
        <w:t>±1%  1 ns</w:t>
      </w:r>
      <w:r>
        <w:rPr>
          <w:rFonts w:ascii="微软雅黑" w:eastAsia="微软雅黑" w:hAnsi="微软雅黑" w:cs="微软雅黑" w:hint="eastAsia"/>
          <w:sz w:val="20"/>
          <w:szCs w:val="20"/>
        </w:rPr>
        <w:t>之后</w:t>
      </w:r>
      <w:r>
        <w:rPr>
          <w:rFonts w:ascii="微软雅黑" w:eastAsia="微软雅黑" w:hAnsi="微软雅黑" w:cs="微软雅黑"/>
          <w:sz w:val="20"/>
          <w:szCs w:val="20"/>
        </w:rPr>
        <w:t>)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脉冲长度：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25.5 </w:t>
      </w:r>
      <w:r>
        <w:rPr>
          <w:rFonts w:ascii="微软雅黑" w:eastAsia="微软雅黑" w:hAnsi="微软雅黑" w:cs="微软雅黑" w:hint="eastAsia"/>
          <w:sz w:val="20"/>
          <w:szCs w:val="20"/>
        </w:rPr>
        <w:t>μ</w:t>
      </w:r>
      <w:r>
        <w:rPr>
          <w:rFonts w:ascii="微软雅黑" w:eastAsia="微软雅黑" w:hAnsi="微软雅黑" w:cs="微软雅黑" w:hint="eastAsia"/>
          <w:sz w:val="20"/>
          <w:szCs w:val="20"/>
        </w:rPr>
        <w:t>s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波形平均：</w:t>
      </w:r>
      <w:r>
        <w:rPr>
          <w:rFonts w:ascii="微软雅黑" w:eastAsia="微软雅黑" w:hAnsi="微软雅黑" w:cs="微软雅黑" w:hint="eastAsia"/>
          <w:sz w:val="20"/>
          <w:szCs w:val="20"/>
        </w:rPr>
        <w:t>1 to 128</w:t>
      </w:r>
    </w:p>
    <w:p w:rsidR="004E5569" w:rsidRPr="004E5569" w:rsidRDefault="004E5569" w:rsidP="004E556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E5569">
        <w:rPr>
          <w:rFonts w:ascii="微软雅黑" w:eastAsia="微软雅黑" w:hAnsi="微软雅黑" w:cs="微软雅黑" w:hint="eastAsia"/>
          <w:sz w:val="20"/>
          <w:szCs w:val="20"/>
        </w:rPr>
        <w:t>静电放电保护: ±8 kV @ 2 Ω 通风，±4 kV @ 2 Ω接触</w:t>
      </w:r>
    </w:p>
    <w:p w:rsidR="004E5569" w:rsidRPr="004E5569" w:rsidRDefault="004E5569" w:rsidP="004E556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E5569">
        <w:rPr>
          <w:rFonts w:ascii="微软雅黑" w:eastAsia="微软雅黑" w:hAnsi="微软雅黑" w:cs="微软雅黑" w:hint="eastAsia"/>
          <w:sz w:val="20"/>
          <w:szCs w:val="20"/>
        </w:rPr>
        <w:t>浪涌防护: ±2 kV @ 2 Ω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工作环境</w:t>
      </w:r>
      <w:r>
        <w:rPr>
          <w:rFonts w:ascii="微软雅黑" w:eastAsia="微软雅黑" w:hAnsi="微软雅黑" w:cs="微软雅黑" w:hint="eastAsia"/>
          <w:sz w:val="20"/>
          <w:szCs w:val="20"/>
        </w:rPr>
        <w:t>温度：</w:t>
      </w:r>
      <w:r>
        <w:rPr>
          <w:rFonts w:ascii="微软雅黑" w:eastAsia="微软雅黑" w:hAnsi="微软雅黑" w:cs="微软雅黑" w:hint="eastAsia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sz w:val="20"/>
          <w:szCs w:val="20"/>
        </w:rPr>
        <w:t>4</w:t>
      </w:r>
      <w:r>
        <w:rPr>
          <w:rFonts w:ascii="微软雅黑" w:eastAsia="微软雅黑" w:hAnsi="微软雅黑" w:cs="微软雅黑" w:hint="eastAsia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℃～</w:t>
      </w:r>
      <w:r>
        <w:rPr>
          <w:rFonts w:ascii="微软雅黑" w:eastAsia="微软雅黑" w:hAnsi="微软雅黑" w:cs="微软雅黑" w:hint="eastAsia"/>
          <w:sz w:val="20"/>
          <w:szCs w:val="20"/>
        </w:rPr>
        <w:t>8</w:t>
      </w:r>
      <w:r>
        <w:rPr>
          <w:rFonts w:ascii="微软雅黑" w:eastAsia="微软雅黑" w:hAnsi="微软雅黑" w:cs="微软雅黑" w:hint="eastAsia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</w:rPr>
        <w:t>℃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   </w:t>
      </w:r>
      <w:r>
        <w:rPr>
          <w:rFonts w:ascii="微软雅黑" w:eastAsia="微软雅黑" w:hAnsi="微软雅黑" w:cs="微软雅黑" w:hint="eastAsia"/>
          <w:sz w:val="20"/>
          <w:szCs w:val="20"/>
        </w:rPr>
        <w:t>电：</w:t>
      </w:r>
      <w:r>
        <w:rPr>
          <w:rFonts w:ascii="微软雅黑" w:eastAsia="微软雅黑" w:hAnsi="微软雅黑" w:cs="微软雅黑" w:hint="eastAsia"/>
          <w:sz w:val="20"/>
          <w:szCs w:val="20"/>
        </w:rPr>
        <w:t>12VDC,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尺寸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21.6 x 5.1 x 10.7 cm</w:t>
      </w:r>
    </w:p>
    <w:p w:rsidR="006A69A8" w:rsidRDefault="003A401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0.79kg</w:t>
      </w:r>
    </w:p>
    <w:p w:rsidR="004E5569" w:rsidRDefault="004E5569" w:rsidP="004E556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E5569">
        <w:rPr>
          <w:rFonts w:ascii="微软雅黑" w:eastAsia="微软雅黑" w:hAnsi="微软雅黑" w:cs="微软雅黑" w:hint="eastAsia"/>
          <w:sz w:val="20"/>
          <w:szCs w:val="20"/>
        </w:rPr>
        <w:t>电流损耗 ：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测量状态: 120 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mA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；休眠状态: 1 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mA</w:t>
      </w:r>
      <w:proofErr w:type="spellEnd"/>
    </w:p>
    <w:sectPr w:rsidR="004E5569" w:rsidSect="006A69A8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1D" w:rsidRDefault="003A401D" w:rsidP="006A69A8">
      <w:r>
        <w:separator/>
      </w:r>
    </w:p>
  </w:endnote>
  <w:endnote w:type="continuationSeparator" w:id="0">
    <w:p w:rsidR="003A401D" w:rsidRDefault="003A401D" w:rsidP="006A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A8" w:rsidRDefault="003A401D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1D" w:rsidRDefault="003A401D" w:rsidP="006A69A8">
      <w:r>
        <w:separator/>
      </w:r>
    </w:p>
  </w:footnote>
  <w:footnote w:type="continuationSeparator" w:id="0">
    <w:p w:rsidR="003A401D" w:rsidRDefault="003A401D" w:rsidP="006A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A8" w:rsidRDefault="003A401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597"/>
    <w:multiLevelType w:val="multilevel"/>
    <w:tmpl w:val="E06E6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172975"/>
    <w:rsid w:val="00290108"/>
    <w:rsid w:val="002B136F"/>
    <w:rsid w:val="0036539B"/>
    <w:rsid w:val="003A401D"/>
    <w:rsid w:val="0042643E"/>
    <w:rsid w:val="004E5569"/>
    <w:rsid w:val="00531EC9"/>
    <w:rsid w:val="006A69A8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92252D6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F327F2C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A69A8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6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6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A69A8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6A69A8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6A69A8"/>
    <w:rPr>
      <w:color w:val="1064A0"/>
      <w:u w:val="none"/>
    </w:rPr>
  </w:style>
  <w:style w:type="character" w:styleId="a9">
    <w:name w:val="Emphasis"/>
    <w:basedOn w:val="a0"/>
    <w:uiPriority w:val="20"/>
    <w:qFormat/>
    <w:rsid w:val="006A69A8"/>
  </w:style>
  <w:style w:type="character" w:styleId="aa">
    <w:name w:val="Hyperlink"/>
    <w:basedOn w:val="a0"/>
    <w:uiPriority w:val="99"/>
    <w:semiHidden/>
    <w:unhideWhenUsed/>
    <w:qFormat/>
    <w:rsid w:val="006A69A8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6A69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6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69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4</cp:revision>
  <dcterms:created xsi:type="dcterms:W3CDTF">2019-01-15T03:14:00Z</dcterms:created>
  <dcterms:modified xsi:type="dcterms:W3CDTF">2020-02-17T13:10:00Z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