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F" w:rsidRDefault="00162F8F">
      <w:pPr>
        <w:spacing w:line="360" w:lineRule="exact"/>
        <w:jc w:val="left"/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</w:pPr>
    </w:p>
    <w:p w:rsidR="00D54010" w:rsidRDefault="00833EDD">
      <w:pPr>
        <w:spacing w:line="360" w:lineRule="exact"/>
        <w:jc w:val="left"/>
        <w:rPr>
          <w:rFonts w:ascii="微软雅黑" w:eastAsia="微软雅黑" w:hAnsi="微软雅黑" w:cs="微软雅黑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-6350</wp:posOffset>
            </wp:positionV>
            <wp:extent cx="2905125" cy="17907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color w:val="0070C0"/>
          <w:sz w:val="28"/>
          <w:szCs w:val="28"/>
        </w:rPr>
        <w:t>G2508</w:t>
      </w:r>
      <w:r>
        <w:rPr>
          <w:rFonts w:ascii="微软雅黑" w:eastAsia="微软雅黑" w:hAnsi="微软雅黑" w:cs="微软雅黑"/>
          <w:b/>
          <w:color w:val="0070C0"/>
          <w:sz w:val="28"/>
          <w:szCs w:val="28"/>
        </w:rPr>
        <w:t>痕量气体分析仪</w:t>
      </w:r>
    </w:p>
    <w:p w:rsidR="00D54010" w:rsidRDefault="00833EDD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Picarro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 xml:space="preserve"> G2508 CO2 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CH4 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N2O 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NH3 </w:t>
      </w:r>
      <w:r>
        <w:rPr>
          <w:rFonts w:ascii="微软雅黑" w:eastAsia="微软雅黑" w:hAnsi="微软雅黑" w:cs="微软雅黑" w:hint="eastAsia"/>
          <w:sz w:val="20"/>
          <w:szCs w:val="20"/>
        </w:rPr>
        <w:t>和</w:t>
      </w:r>
      <w:r>
        <w:rPr>
          <w:rFonts w:ascii="微软雅黑" w:eastAsia="微软雅黑" w:hAnsi="微软雅黑" w:cs="微软雅黑" w:hint="eastAsia"/>
          <w:sz w:val="20"/>
          <w:szCs w:val="20"/>
        </w:rPr>
        <w:t>H2O</w:t>
      </w:r>
      <w:r>
        <w:rPr>
          <w:rFonts w:ascii="微软雅黑" w:eastAsia="微软雅黑" w:hAnsi="微软雅黑" w:cs="微软雅黑" w:hint="eastAsia"/>
          <w:sz w:val="20"/>
          <w:szCs w:val="20"/>
        </w:rPr>
        <w:t>分析仪同时输出自然态气体参数和当时水汽浓度下的摩尔干值，配备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ChemDetect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>干扰检测标记的软件。无论是青藏高原的土壤通量测量，还是海洋船只上的原位测量，事实证明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Picarro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>出色的野外应用能力。</w:t>
      </w:r>
    </w:p>
    <w:p w:rsidR="00D54010" w:rsidRDefault="00833EDD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技术原理第四代波长扫描光腔衰荡光谱技术（</w:t>
      </w:r>
      <w:r>
        <w:rPr>
          <w:rFonts w:ascii="微软雅黑" w:eastAsia="微软雅黑" w:hAnsi="微软雅黑" w:cs="微软雅黑" w:hint="eastAsia"/>
          <w:sz w:val="20"/>
          <w:szCs w:val="20"/>
        </w:rPr>
        <w:t>WS-CRDS</w:t>
      </w:r>
      <w:r>
        <w:rPr>
          <w:rFonts w:ascii="微软雅黑" w:eastAsia="微软雅黑" w:hAnsi="微软雅黑" w:cs="微软雅黑" w:hint="eastAsia"/>
          <w:sz w:val="20"/>
          <w:szCs w:val="20"/>
        </w:rPr>
        <w:t>）</w:t>
      </w:r>
    </w:p>
    <w:p w:rsidR="00D54010" w:rsidRDefault="00833EDD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技术</w:t>
      </w:r>
      <w:r>
        <w:rPr>
          <w:rFonts w:ascii="微软雅黑" w:eastAsia="微软雅黑" w:hAnsi="微软雅黑" w:cs="微软雅黑"/>
          <w:color w:val="0070C0"/>
          <w:sz w:val="20"/>
          <w:szCs w:val="20"/>
        </w:rPr>
        <w:t>参数</w:t>
      </w:r>
    </w:p>
    <w:tbl>
      <w:tblPr>
        <w:tblW w:w="858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4"/>
        <w:gridCol w:w="1636"/>
        <w:gridCol w:w="1409"/>
        <w:gridCol w:w="1500"/>
        <w:gridCol w:w="1410"/>
        <w:gridCol w:w="1045"/>
      </w:tblGrid>
      <w:tr w:rsidR="00D54010">
        <w:trPr>
          <w:trHeight w:val="270"/>
        </w:trPr>
        <w:tc>
          <w:tcPr>
            <w:tcW w:w="8584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 xml:space="preserve">G2508 </w:t>
            </w:r>
            <w:r>
              <w:rPr>
                <w:rFonts w:hint="eastAsia"/>
              </w:rPr>
              <w:t>痕量气体分析仪</w:t>
            </w:r>
          </w:p>
        </w:tc>
      </w:tr>
      <w:tr w:rsidR="00D54010">
        <w:trPr>
          <w:trHeight w:val="270"/>
        </w:trPr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性能指标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CO2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CH4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N2O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NH3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H2O</w:t>
            </w:r>
          </w:p>
        </w:tc>
      </w:tr>
      <w:tr w:rsidR="00D54010">
        <w:trPr>
          <w:trHeight w:val="590"/>
        </w:trPr>
        <w:tc>
          <w:tcPr>
            <w:tcW w:w="15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br/>
              <w:t>(</w:t>
            </w:r>
            <w:r>
              <w:rPr>
                <w:rFonts w:hint="eastAsia"/>
              </w:rPr>
              <w:t>初始精</w:t>
            </w:r>
            <w:r>
              <w:rPr>
                <w:rFonts w:hint="eastAsia"/>
              </w:rPr>
              <w:t>, 1</w:t>
            </w:r>
            <w:r>
              <w:rPr>
                <w:rFonts w:hint="eastAsia"/>
              </w:rPr>
              <w:t>σ</w:t>
            </w:r>
            <w:r>
              <w:rPr>
                <w:rFonts w:hint="eastAsia"/>
              </w:rPr>
              <w:t>)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 xml:space="preserve">600ppb 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25ppb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500ppm</w:t>
            </w:r>
          </w:p>
        </w:tc>
      </w:tr>
      <w:tr w:rsidR="00D54010">
        <w:trPr>
          <w:trHeight w:val="690"/>
        </w:trPr>
        <w:tc>
          <w:tcPr>
            <w:tcW w:w="15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br/>
              <w:t>(1min, 1</w:t>
            </w:r>
            <w:r>
              <w:rPr>
                <w:rFonts w:hint="eastAsia"/>
              </w:rPr>
              <w:t>σ</w:t>
            </w:r>
            <w:r>
              <w:rPr>
                <w:rFonts w:hint="eastAsia"/>
              </w:rPr>
              <w:t>)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300ppb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7ppb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250ppm</w:t>
            </w:r>
          </w:p>
        </w:tc>
      </w:tr>
      <w:tr w:rsidR="00D54010">
        <w:trPr>
          <w:trHeight w:val="630"/>
        </w:trPr>
        <w:tc>
          <w:tcPr>
            <w:tcW w:w="15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br/>
              <w:t>(5min, 1</w:t>
            </w:r>
            <w:r>
              <w:rPr>
                <w:rFonts w:hint="eastAsia"/>
              </w:rPr>
              <w:t>σ</w:t>
            </w:r>
            <w:r>
              <w:rPr>
                <w:rFonts w:hint="eastAsia"/>
              </w:rPr>
              <w:t>)</w:t>
            </w:r>
          </w:p>
        </w:tc>
        <w:tc>
          <w:tcPr>
            <w:tcW w:w="16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200ppb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4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1ppb</w:t>
            </w:r>
            <w:r>
              <w:rPr>
                <w:rFonts w:hint="eastAsia"/>
              </w:rPr>
              <w:br/>
              <w:t>+0.05%</w:t>
            </w:r>
            <w:r>
              <w:rPr>
                <w:rFonts w:hint="eastAsia"/>
              </w:rPr>
              <w:t>读数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100ppm</w:t>
            </w:r>
          </w:p>
        </w:tc>
      </w:tr>
      <w:tr w:rsidR="00D54010">
        <w:trPr>
          <w:trHeight w:val="342"/>
        </w:trPr>
        <w:tc>
          <w:tcPr>
            <w:tcW w:w="15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确保精度范围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380~5000ppm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1.5~12ppm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0.3~200ppm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0~300ppb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0~3%</w:t>
            </w:r>
          </w:p>
        </w:tc>
      </w:tr>
      <w:tr w:rsidR="00D54010">
        <w:trPr>
          <w:trHeight w:val="270"/>
        </w:trPr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测量范围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0.02~2%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0.5~15ppm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0~400ppm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0~2ppm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0~7%</w:t>
            </w:r>
          </w:p>
        </w:tc>
      </w:tr>
      <w:tr w:rsidR="00D54010">
        <w:trPr>
          <w:trHeight w:val="270"/>
        </w:trPr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测量速率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8s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8s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8s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8s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8s</w:t>
            </w:r>
          </w:p>
        </w:tc>
      </w:tr>
      <w:tr w:rsidR="00D54010">
        <w:trPr>
          <w:trHeight w:val="270"/>
        </w:trPr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响应时间（</w:t>
            </w:r>
            <w:r>
              <w:rPr>
                <w:rFonts w:hint="eastAsia"/>
              </w:rPr>
              <w:t>10-90%/90-10%</w:t>
            </w:r>
            <w:r>
              <w:rPr>
                <w:rFonts w:hint="eastAsia"/>
              </w:rPr>
              <w:t>）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~8s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~8s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~8s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见备注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~8s</w:t>
            </w:r>
          </w:p>
        </w:tc>
      </w:tr>
      <w:tr w:rsidR="00D54010">
        <w:trPr>
          <w:trHeight w:val="270"/>
        </w:trPr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摩尔量（干值）</w:t>
            </w:r>
          </w:p>
        </w:tc>
        <w:tc>
          <w:tcPr>
            <w:tcW w:w="1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Yes</w:t>
            </w:r>
          </w:p>
        </w:tc>
        <w:tc>
          <w:tcPr>
            <w:tcW w:w="14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Yes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Yes</w:t>
            </w:r>
          </w:p>
        </w:tc>
        <w:tc>
          <w:tcPr>
            <w:tcW w:w="14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No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N/A</w:t>
            </w:r>
          </w:p>
        </w:tc>
      </w:tr>
    </w:tbl>
    <w:p w:rsidR="00D54010" w:rsidRDefault="00833EDD">
      <w:pPr>
        <w:rPr>
          <w:rFonts w:hint="eastAsia"/>
        </w:rPr>
      </w:pPr>
      <w:r>
        <w:rPr>
          <w:rFonts w:hint="eastAsia"/>
        </w:rPr>
        <w:t>备注：由于实验装置表面吸附的限制，仪器对</w:t>
      </w:r>
      <w:r>
        <w:rPr>
          <w:rFonts w:hint="eastAsia"/>
        </w:rPr>
        <w:t>H2O</w:t>
      </w:r>
      <w:r>
        <w:rPr>
          <w:rFonts w:hint="eastAsia"/>
        </w:rPr>
        <w:t>和</w:t>
      </w:r>
      <w:r>
        <w:rPr>
          <w:rFonts w:hint="eastAsia"/>
        </w:rPr>
        <w:t>NH3</w:t>
      </w:r>
      <w:r>
        <w:rPr>
          <w:rFonts w:hint="eastAsia"/>
        </w:rPr>
        <w:t>的响应受到影响。但是仪器可以准确测量在腔室内测量来自土壤呼吸的</w:t>
      </w:r>
      <w:r>
        <w:rPr>
          <w:rFonts w:hint="eastAsia"/>
        </w:rPr>
        <w:t>H2O</w:t>
      </w:r>
      <w:r>
        <w:rPr>
          <w:rFonts w:hint="eastAsia"/>
        </w:rPr>
        <w:t>和</w:t>
      </w:r>
      <w:r>
        <w:rPr>
          <w:rFonts w:hint="eastAsia"/>
        </w:rPr>
        <w:t>NH3</w:t>
      </w:r>
      <w:r>
        <w:rPr>
          <w:rFonts w:hint="eastAsia"/>
        </w:rPr>
        <w:t>，并计算准确的土壤呼吸通量。</w:t>
      </w:r>
    </w:p>
    <w:p w:rsidR="00162F8F" w:rsidRDefault="00162F8F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3"/>
        <w:gridCol w:w="2773"/>
        <w:gridCol w:w="1545"/>
        <w:gridCol w:w="2909"/>
      </w:tblGrid>
      <w:tr w:rsidR="00D54010">
        <w:trPr>
          <w:trHeight w:val="270"/>
        </w:trPr>
        <w:tc>
          <w:tcPr>
            <w:tcW w:w="1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lastRenderedPageBreak/>
              <w:t>取样温度</w:t>
            </w:r>
          </w:p>
        </w:tc>
        <w:tc>
          <w:tcPr>
            <w:tcW w:w="27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 xml:space="preserve">-10 ~ 45 </w:t>
            </w:r>
            <w:r>
              <w:rPr>
                <w:rFonts w:hint="eastAsia"/>
              </w:rPr>
              <w:t>℃</w:t>
            </w:r>
          </w:p>
        </w:tc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温度控制精度</w:t>
            </w:r>
          </w:p>
        </w:tc>
        <w:tc>
          <w:tcPr>
            <w:tcW w:w="29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0.005</w:t>
            </w:r>
            <w:r>
              <w:rPr>
                <w:rFonts w:hint="eastAsia"/>
              </w:rPr>
              <w:t>℃</w:t>
            </w:r>
          </w:p>
        </w:tc>
      </w:tr>
      <w:tr w:rsidR="00D54010">
        <w:trPr>
          <w:trHeight w:val="270"/>
        </w:trPr>
        <w:tc>
          <w:tcPr>
            <w:tcW w:w="1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环境湿度</w:t>
            </w:r>
          </w:p>
        </w:tc>
        <w:tc>
          <w:tcPr>
            <w:tcW w:w="27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99% R.H</w:t>
            </w:r>
            <w:r>
              <w:rPr>
                <w:rFonts w:hint="eastAsia"/>
              </w:rPr>
              <w:t>，无冷凝</w:t>
            </w:r>
          </w:p>
        </w:tc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压力控制精度</w:t>
            </w:r>
          </w:p>
        </w:tc>
        <w:tc>
          <w:tcPr>
            <w:tcW w:w="29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0.0002atm</w:t>
            </w:r>
          </w:p>
        </w:tc>
      </w:tr>
      <w:tr w:rsidR="00D54010">
        <w:trPr>
          <w:trHeight w:val="270"/>
        </w:trPr>
        <w:tc>
          <w:tcPr>
            <w:tcW w:w="1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取样压力</w:t>
            </w:r>
          </w:p>
        </w:tc>
        <w:tc>
          <w:tcPr>
            <w:tcW w:w="27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300-1000Torr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40-133kPa</w:t>
            </w:r>
            <w:r>
              <w:rPr>
                <w:rFonts w:hint="eastAsia"/>
              </w:rPr>
              <w:t>）</w:t>
            </w:r>
          </w:p>
        </w:tc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闭路循环系统</w:t>
            </w:r>
          </w:p>
        </w:tc>
        <w:tc>
          <w:tcPr>
            <w:tcW w:w="29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兼容</w:t>
            </w:r>
            <w:proofErr w:type="spellStart"/>
            <w:r>
              <w:rPr>
                <w:rFonts w:hint="eastAsia"/>
              </w:rPr>
              <w:t>Picarro</w:t>
            </w:r>
            <w:proofErr w:type="spellEnd"/>
            <w:r>
              <w:rPr>
                <w:rFonts w:hint="eastAsia"/>
              </w:rPr>
              <w:t xml:space="preserve"> A0702</w:t>
            </w:r>
          </w:p>
        </w:tc>
      </w:tr>
      <w:tr w:rsidR="00D54010">
        <w:trPr>
          <w:trHeight w:val="270"/>
        </w:trPr>
        <w:tc>
          <w:tcPr>
            <w:tcW w:w="1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取样流速</w:t>
            </w:r>
          </w:p>
        </w:tc>
        <w:tc>
          <w:tcPr>
            <w:tcW w:w="27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~230mL/min@760Torr</w:t>
            </w:r>
            <w:r>
              <w:rPr>
                <w:rFonts w:hint="eastAsia"/>
              </w:rPr>
              <w:t>，无需过滤</w:t>
            </w:r>
          </w:p>
        </w:tc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量</w:t>
            </w:r>
          </w:p>
        </w:tc>
        <w:tc>
          <w:tcPr>
            <w:tcW w:w="29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27.2Kg</w:t>
            </w:r>
            <w:r>
              <w:rPr>
                <w:rFonts w:hint="eastAsia"/>
              </w:rPr>
              <w:t>（包括外置泵）</w:t>
            </w:r>
          </w:p>
        </w:tc>
      </w:tr>
      <w:tr w:rsidR="00D54010">
        <w:trPr>
          <w:trHeight w:val="973"/>
        </w:trPr>
        <w:tc>
          <w:tcPr>
            <w:tcW w:w="1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耗</w:t>
            </w:r>
          </w:p>
        </w:tc>
        <w:tc>
          <w:tcPr>
            <w:tcW w:w="27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100-240 VAC</w:t>
            </w:r>
            <w:r>
              <w:rPr>
                <w:rFonts w:hint="eastAsia"/>
              </w:rPr>
              <w:t>，启动时＜</w:t>
            </w:r>
            <w:r>
              <w:rPr>
                <w:rFonts w:hint="eastAsia"/>
              </w:rPr>
              <w:t>260W</w:t>
            </w:r>
            <w:r>
              <w:rPr>
                <w:rFonts w:hint="eastAsia"/>
              </w:rPr>
              <w:t>；稳定后：分析仪</w:t>
            </w:r>
            <w:r>
              <w:rPr>
                <w:rFonts w:hint="eastAsia"/>
              </w:rPr>
              <w:t>110 W</w:t>
            </w:r>
            <w:r>
              <w:rPr>
                <w:rFonts w:hint="eastAsia"/>
              </w:rPr>
              <w:t>，泵</w:t>
            </w:r>
            <w:r>
              <w:rPr>
                <w:rFonts w:hint="eastAsia"/>
              </w:rPr>
              <w:t>35 W</w:t>
            </w:r>
          </w:p>
        </w:tc>
        <w:tc>
          <w:tcPr>
            <w:tcW w:w="1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寸</w:t>
            </w:r>
          </w:p>
        </w:tc>
        <w:tc>
          <w:tcPr>
            <w:tcW w:w="29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分析仪：</w:t>
            </w:r>
            <w:r>
              <w:rPr>
                <w:rFonts w:hint="eastAsia"/>
              </w:rPr>
              <w:t>43.18x17.78x 44.57cm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外置泵：</w:t>
            </w:r>
            <w:r>
              <w:rPr>
                <w:rFonts w:hint="eastAsia"/>
              </w:rPr>
              <w:t>19 x 10.2 x 28 cm</w:t>
            </w:r>
          </w:p>
        </w:tc>
      </w:tr>
    </w:tbl>
    <w:p w:rsidR="00162F8F" w:rsidRDefault="00162F8F">
      <w:pPr>
        <w:spacing w:line="360" w:lineRule="exact"/>
        <w:ind w:firstLineChars="200" w:firstLine="420"/>
        <w:rPr>
          <w:rFonts w:hint="eastAsia"/>
        </w:rPr>
      </w:pPr>
    </w:p>
    <w:p w:rsidR="00D54010" w:rsidRDefault="00833EDD">
      <w:pPr>
        <w:spacing w:line="360" w:lineRule="exact"/>
        <w:ind w:firstLineChars="200" w:firstLine="420"/>
        <w:rPr>
          <w:rFonts w:hint="eastAsia"/>
        </w:rPr>
      </w:pPr>
      <w:proofErr w:type="spellStart"/>
      <w:r>
        <w:rPr>
          <w:rFonts w:hint="eastAsia"/>
        </w:rPr>
        <w:t>Picarro</w:t>
      </w:r>
      <w:proofErr w:type="spellEnd"/>
      <w:r>
        <w:rPr>
          <w:rFonts w:hint="eastAsia"/>
        </w:rPr>
        <w:t xml:space="preserve"> CRDS</w:t>
      </w:r>
      <w:r>
        <w:rPr>
          <w:rFonts w:hint="eastAsia"/>
        </w:rPr>
        <w:t>技术采用了极窄的光谱区域，与其它光谱技术相比，最大限度的减少了其它种类气体的干扰。但是，现实世界的样品干扰还是可能存在的。</w:t>
      </w:r>
      <w:proofErr w:type="spellStart"/>
      <w:r>
        <w:rPr>
          <w:rFonts w:hint="eastAsia"/>
        </w:rPr>
        <w:t>Picarro</w:t>
      </w:r>
      <w:proofErr w:type="spellEnd"/>
      <w:r>
        <w:rPr>
          <w:rFonts w:hint="eastAsia"/>
        </w:rPr>
        <w:t>提供光谱干扰检测软件，测试并给出以下气体种类对</w:t>
      </w:r>
      <w:r>
        <w:rPr>
          <w:rFonts w:hint="eastAsia"/>
        </w:rPr>
        <w:t>N2O</w:t>
      </w:r>
      <w:r>
        <w:rPr>
          <w:rFonts w:hint="eastAsia"/>
        </w:rPr>
        <w:t>的干扰与否数据。</w:t>
      </w:r>
    </w:p>
    <w:p w:rsidR="00162F8F" w:rsidRDefault="00162F8F">
      <w:pPr>
        <w:spacing w:line="360" w:lineRule="exact"/>
        <w:ind w:firstLineChars="200" w:firstLine="420"/>
      </w:pP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3188"/>
        <w:gridCol w:w="770"/>
        <w:gridCol w:w="3379"/>
      </w:tblGrid>
      <w:tr w:rsidR="00D54010">
        <w:trPr>
          <w:trHeight w:val="270"/>
        </w:trPr>
        <w:tc>
          <w:tcPr>
            <w:tcW w:w="10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CO2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无干扰：自动校准至</w:t>
            </w:r>
            <w:r>
              <w:rPr>
                <w:rFonts w:hint="eastAsia"/>
              </w:rPr>
              <w:t>20000ppm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乙烷</w:t>
            </w:r>
          </w:p>
        </w:tc>
        <w:tc>
          <w:tcPr>
            <w:tcW w:w="3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 xml:space="preserve">0.2 ppb N2O / </w:t>
            </w:r>
            <w:proofErr w:type="spellStart"/>
            <w:r>
              <w:rPr>
                <w:rFonts w:hint="eastAsia"/>
              </w:rPr>
              <w:t>ppm</w:t>
            </w:r>
            <w:proofErr w:type="spellEnd"/>
            <w:r>
              <w:rPr>
                <w:rFonts w:hint="eastAsia"/>
              </w:rPr>
              <w:t xml:space="preserve"> C2H6</w:t>
            </w:r>
            <w:r>
              <w:rPr>
                <w:rFonts w:hint="eastAsia"/>
              </w:rPr>
              <w:t>测试至</w:t>
            </w:r>
            <w:r>
              <w:rPr>
                <w:rFonts w:hint="eastAsia"/>
              </w:rPr>
              <w:t>120ppm</w:t>
            </w:r>
          </w:p>
        </w:tc>
      </w:tr>
      <w:tr w:rsidR="00D54010">
        <w:trPr>
          <w:trHeight w:val="270"/>
        </w:trPr>
        <w:tc>
          <w:tcPr>
            <w:tcW w:w="10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CH4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无干扰：自动校准至</w:t>
            </w:r>
            <w:r>
              <w:rPr>
                <w:rFonts w:hint="eastAsia"/>
              </w:rPr>
              <w:t>200ppm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乙烯</w:t>
            </w:r>
          </w:p>
        </w:tc>
        <w:tc>
          <w:tcPr>
            <w:tcW w:w="3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 xml:space="preserve">0.5 ppb N2O / </w:t>
            </w:r>
            <w:proofErr w:type="spellStart"/>
            <w:r>
              <w:rPr>
                <w:rFonts w:hint="eastAsia"/>
              </w:rPr>
              <w:t>ppm</w:t>
            </w:r>
            <w:proofErr w:type="spellEnd"/>
            <w:r>
              <w:rPr>
                <w:rFonts w:hint="eastAsia"/>
              </w:rPr>
              <w:t xml:space="preserve"> C2H6</w:t>
            </w:r>
            <w:r>
              <w:rPr>
                <w:rFonts w:hint="eastAsia"/>
              </w:rPr>
              <w:t>测试至</w:t>
            </w:r>
            <w:r>
              <w:rPr>
                <w:rFonts w:hint="eastAsia"/>
              </w:rPr>
              <w:t>16ppm</w:t>
            </w:r>
          </w:p>
        </w:tc>
      </w:tr>
      <w:tr w:rsidR="00D54010">
        <w:trPr>
          <w:trHeight w:val="270"/>
        </w:trPr>
        <w:tc>
          <w:tcPr>
            <w:tcW w:w="10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NH3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无干扰：自动校准至</w:t>
            </w:r>
            <w:r>
              <w:rPr>
                <w:rFonts w:hint="eastAsia"/>
              </w:rPr>
              <w:t>2ppm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乙炔</w:t>
            </w:r>
          </w:p>
        </w:tc>
        <w:tc>
          <w:tcPr>
            <w:tcW w:w="3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不供使用</w:t>
            </w:r>
          </w:p>
        </w:tc>
      </w:tr>
      <w:tr w:rsidR="00D54010">
        <w:trPr>
          <w:trHeight w:val="270"/>
        </w:trPr>
        <w:tc>
          <w:tcPr>
            <w:tcW w:w="10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proofErr w:type="spellStart"/>
            <w:r>
              <w:rPr>
                <w:rFonts w:hint="eastAsia"/>
              </w:rPr>
              <w:t>ChemDetect</w:t>
            </w:r>
            <w:proofErr w:type="spellEnd"/>
            <w:r>
              <w:rPr>
                <w:rFonts w:hint="eastAsia"/>
              </w:rPr>
              <w:t>™</w:t>
            </w:r>
          </w:p>
        </w:tc>
        <w:tc>
          <w:tcPr>
            <w:tcW w:w="31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检测和标记光谱干扰的数据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背景气</w:t>
            </w:r>
          </w:p>
        </w:tc>
        <w:tc>
          <w:tcPr>
            <w:tcW w:w="33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4010" w:rsidRDefault="00833EDD">
            <w:pPr>
              <w:spacing w:line="360" w:lineRule="exact"/>
              <w:ind w:leftChars="50" w:left="105"/>
            </w:pPr>
            <w:r>
              <w:rPr>
                <w:rFonts w:hint="eastAsia"/>
              </w:rPr>
              <w:t>大气应用，非高度变化或富集的</w:t>
            </w:r>
            <w:r>
              <w:rPr>
                <w:rFonts w:hint="eastAsia"/>
              </w:rPr>
              <w:t>N2, O2, H2, He</w:t>
            </w:r>
          </w:p>
        </w:tc>
      </w:tr>
    </w:tbl>
    <w:p w:rsidR="00D54010" w:rsidRDefault="00D54010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D54010" w:rsidRDefault="00D54010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D54010" w:rsidRDefault="00D54010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</w:p>
    <w:sectPr w:rsidR="00D54010" w:rsidSect="00D54010">
      <w:headerReference w:type="default" r:id="rId8"/>
      <w:footerReference w:type="default" r:id="rId9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DD" w:rsidRDefault="00833EDD" w:rsidP="00D54010">
      <w:r>
        <w:separator/>
      </w:r>
    </w:p>
  </w:endnote>
  <w:endnote w:type="continuationSeparator" w:id="0">
    <w:p w:rsidR="00833EDD" w:rsidRDefault="00833EDD" w:rsidP="00D5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10" w:rsidRDefault="00833EDD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DD" w:rsidRDefault="00833EDD" w:rsidP="00D54010">
      <w:r>
        <w:separator/>
      </w:r>
    </w:p>
  </w:footnote>
  <w:footnote w:type="continuationSeparator" w:id="0">
    <w:p w:rsidR="00833EDD" w:rsidRDefault="00833EDD" w:rsidP="00D5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10" w:rsidRDefault="00833EDD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0108"/>
    <w:rsid w:val="00095CE3"/>
    <w:rsid w:val="00162F8F"/>
    <w:rsid w:val="00172975"/>
    <w:rsid w:val="00290108"/>
    <w:rsid w:val="002B136F"/>
    <w:rsid w:val="0036539B"/>
    <w:rsid w:val="0042643E"/>
    <w:rsid w:val="00531EC9"/>
    <w:rsid w:val="00584C40"/>
    <w:rsid w:val="00711837"/>
    <w:rsid w:val="00730259"/>
    <w:rsid w:val="00833EDD"/>
    <w:rsid w:val="008A32CB"/>
    <w:rsid w:val="008C032A"/>
    <w:rsid w:val="009003EA"/>
    <w:rsid w:val="00A95E08"/>
    <w:rsid w:val="00B41193"/>
    <w:rsid w:val="00BE2E7F"/>
    <w:rsid w:val="00C63114"/>
    <w:rsid w:val="00D10950"/>
    <w:rsid w:val="00D54010"/>
    <w:rsid w:val="00DB0481"/>
    <w:rsid w:val="00E665CA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3DC712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54010"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4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54010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D54010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D54010"/>
    <w:rPr>
      <w:color w:val="1064A0"/>
      <w:u w:val="none"/>
    </w:rPr>
  </w:style>
  <w:style w:type="character" w:styleId="a9">
    <w:name w:val="Emphasis"/>
    <w:basedOn w:val="a0"/>
    <w:uiPriority w:val="20"/>
    <w:qFormat/>
    <w:rsid w:val="00D54010"/>
  </w:style>
  <w:style w:type="character" w:styleId="aa">
    <w:name w:val="Hyperlink"/>
    <w:basedOn w:val="a0"/>
    <w:uiPriority w:val="99"/>
    <w:semiHidden/>
    <w:unhideWhenUsed/>
    <w:qFormat/>
    <w:rsid w:val="00D54010"/>
    <w:rPr>
      <w:color w:val="1064A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D540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40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40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北京华益瑞科技有限公司</cp:lastModifiedBy>
  <cp:revision>13</cp:revision>
  <dcterms:created xsi:type="dcterms:W3CDTF">2019-01-15T03:14:00Z</dcterms:created>
  <dcterms:modified xsi:type="dcterms:W3CDTF">2020-02-20T06:35:00Z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