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07" w:rsidRDefault="009403BD">
      <w:pPr>
        <w:spacing w:line="360" w:lineRule="exact"/>
        <w:rPr>
          <w:rStyle w:val="1Char"/>
          <w:rFonts w:cs="微软雅黑"/>
          <w:b/>
          <w:bCs/>
          <w:sz w:val="28"/>
          <w:szCs w:val="28"/>
        </w:rPr>
      </w:pPr>
      <w:bookmarkStart w:id="0" w:name="_Toc6593"/>
      <w:r>
        <w:rPr>
          <w:rStyle w:val="1Char"/>
          <w:rFonts w:cs="微软雅黑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89535</wp:posOffset>
            </wp:positionV>
            <wp:extent cx="2847975" cy="1708150"/>
            <wp:effectExtent l="0" t="0" r="9525" b="635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Char"/>
          <w:rFonts w:cs="微软雅黑" w:hint="eastAsia"/>
          <w:b/>
          <w:bCs/>
          <w:sz w:val="28"/>
          <w:szCs w:val="28"/>
        </w:rPr>
        <w:t>PF</w:t>
      </w:r>
      <w:r>
        <w:rPr>
          <w:rStyle w:val="1Char"/>
          <w:rFonts w:cs="微软雅黑" w:hint="eastAsia"/>
          <w:b/>
          <w:bCs/>
          <w:sz w:val="28"/>
          <w:szCs w:val="28"/>
        </w:rPr>
        <w:t xml:space="preserve"> </w:t>
      </w:r>
      <w:r>
        <w:rPr>
          <w:rStyle w:val="1Char"/>
          <w:rFonts w:cs="微软雅黑" w:hint="eastAsia"/>
          <w:b/>
          <w:bCs/>
          <w:sz w:val="28"/>
          <w:szCs w:val="28"/>
        </w:rPr>
        <w:t xml:space="preserve">Meter </w:t>
      </w:r>
      <w:r>
        <w:rPr>
          <w:rStyle w:val="1Char"/>
          <w:rFonts w:cs="微软雅黑" w:hint="eastAsia"/>
          <w:b/>
          <w:bCs/>
          <w:sz w:val="28"/>
          <w:szCs w:val="28"/>
        </w:rPr>
        <w:t>土壤水势传感器</w:t>
      </w:r>
      <w:bookmarkEnd w:id="0"/>
    </w:p>
    <w:p w:rsidR="00FC2F07" w:rsidRDefault="00FC2F07">
      <w:pPr>
        <w:spacing w:line="360" w:lineRule="exact"/>
        <w:rPr>
          <w:rStyle w:val="1Char"/>
          <w:rFonts w:cs="微软雅黑"/>
          <w:b/>
          <w:bCs/>
          <w:sz w:val="28"/>
          <w:szCs w:val="28"/>
        </w:rPr>
      </w:pPr>
    </w:p>
    <w:p w:rsidR="00FC2F07" w:rsidRDefault="009403BD">
      <w:pPr>
        <w:spacing w:line="36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PF Meter</w:t>
      </w:r>
      <w:r>
        <w:rPr>
          <w:rFonts w:ascii="微软雅黑" w:eastAsia="微软雅黑" w:hAnsi="微软雅黑" w:cs="微软雅黑" w:hint="eastAsia"/>
          <w:sz w:val="20"/>
          <w:szCs w:val="20"/>
        </w:rPr>
        <w:t>土壤水势传感器采用特殊设计的陶瓷平衡系统，是基于摩尔热容原理</w:t>
      </w:r>
      <w:r>
        <w:rPr>
          <w:rFonts w:ascii="微软雅黑" w:eastAsia="微软雅黑" w:hAnsi="微软雅黑" w:cs="微软雅黑" w:hint="eastAsia"/>
          <w:sz w:val="20"/>
          <w:szCs w:val="20"/>
        </w:rPr>
        <w:t>,</w:t>
      </w:r>
      <w:r>
        <w:rPr>
          <w:rFonts w:ascii="微软雅黑" w:eastAsia="微软雅黑" w:hAnsi="微软雅黑" w:cs="微软雅黑" w:hint="eastAsia"/>
          <w:sz w:val="20"/>
          <w:szCs w:val="20"/>
        </w:rPr>
        <w:t>直接测量热容的变化，通过内部微控制器</w:t>
      </w:r>
      <w:r>
        <w:rPr>
          <w:rFonts w:ascii="微软雅黑" w:eastAsia="微软雅黑" w:hAnsi="微软雅黑" w:cs="微软雅黑" w:hint="eastAsia"/>
          <w:sz w:val="20"/>
          <w:szCs w:val="20"/>
        </w:rPr>
        <w:t>MCU</w:t>
      </w:r>
      <w:r>
        <w:rPr>
          <w:rFonts w:ascii="微软雅黑" w:eastAsia="微软雅黑" w:hAnsi="微软雅黑" w:cs="微软雅黑" w:hint="eastAsia"/>
          <w:sz w:val="20"/>
          <w:szCs w:val="20"/>
        </w:rPr>
        <w:t>进行转换得出精度的水势值</w:t>
      </w:r>
      <w:r>
        <w:rPr>
          <w:rFonts w:ascii="微软雅黑" w:eastAsia="微软雅黑" w:hAnsi="微软雅黑" w:cs="微软雅黑" w:hint="eastAsia"/>
          <w:sz w:val="20"/>
          <w:szCs w:val="20"/>
        </w:rPr>
        <w:t>,</w:t>
      </w:r>
      <w:r>
        <w:rPr>
          <w:rFonts w:ascii="微软雅黑" w:eastAsia="微软雅黑" w:hAnsi="微软雅黑" w:cs="微软雅黑" w:hint="eastAsia"/>
          <w:sz w:val="20"/>
          <w:szCs w:val="20"/>
        </w:rPr>
        <w:t>用户不需要标定。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PF Meter </w:t>
      </w:r>
      <w:r>
        <w:rPr>
          <w:rFonts w:ascii="微软雅黑" w:eastAsia="微软雅黑" w:hAnsi="微软雅黑" w:cs="微软雅黑" w:hint="eastAsia"/>
          <w:sz w:val="20"/>
          <w:szCs w:val="20"/>
        </w:rPr>
        <w:t>以数字信号传输</w:t>
      </w:r>
      <w:r>
        <w:rPr>
          <w:rFonts w:ascii="微软雅黑" w:eastAsia="微软雅黑" w:hAnsi="微软雅黑" w:cs="微软雅黑" w:hint="eastAsia"/>
          <w:sz w:val="20"/>
          <w:szCs w:val="20"/>
        </w:rPr>
        <w:t>PF</w:t>
      </w:r>
      <w:r>
        <w:rPr>
          <w:rFonts w:ascii="微软雅黑" w:eastAsia="微软雅黑" w:hAnsi="微软雅黑" w:cs="微软雅黑" w:hint="eastAsia"/>
          <w:sz w:val="20"/>
          <w:szCs w:val="20"/>
        </w:rPr>
        <w:t>值或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hPa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值，数字信号传输可以避免测量值的传输误差，所以电缆长度可支持至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250 </w:t>
      </w:r>
      <w:r>
        <w:rPr>
          <w:rFonts w:ascii="微软雅黑" w:eastAsia="微软雅黑" w:hAnsi="微软雅黑" w:cs="微软雅黑" w:hint="eastAsia"/>
          <w:sz w:val="20"/>
          <w:szCs w:val="20"/>
        </w:rPr>
        <w:t>米。与兼容的网络设备相连，可以组成一个由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48 </w:t>
      </w:r>
      <w:r>
        <w:rPr>
          <w:rFonts w:ascii="微软雅黑" w:eastAsia="微软雅黑" w:hAnsi="微软雅黑" w:cs="微软雅黑" w:hint="eastAsia"/>
          <w:sz w:val="20"/>
          <w:szCs w:val="20"/>
        </w:rPr>
        <w:t>个</w:t>
      </w:r>
      <w:r>
        <w:rPr>
          <w:rFonts w:ascii="微软雅黑" w:eastAsia="微软雅黑" w:hAnsi="微软雅黑" w:cs="微软雅黑" w:hint="eastAsia"/>
          <w:sz w:val="20"/>
          <w:szCs w:val="20"/>
        </w:rPr>
        <w:t>PF Meter</w:t>
      </w:r>
      <w:r>
        <w:rPr>
          <w:rFonts w:ascii="微软雅黑" w:eastAsia="微软雅黑" w:hAnsi="微软雅黑" w:cs="微软雅黑" w:hint="eastAsia"/>
          <w:sz w:val="20"/>
          <w:szCs w:val="20"/>
        </w:rPr>
        <w:t>设备组成的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dLOG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sz w:val="20"/>
          <w:szCs w:val="20"/>
        </w:rPr>
        <w:t>网络，也可以通过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GSM/GPRS </w:t>
      </w:r>
      <w:r>
        <w:rPr>
          <w:rFonts w:ascii="微软雅黑" w:eastAsia="微软雅黑" w:hAnsi="微软雅黑" w:cs="微软雅黑" w:hint="eastAsia"/>
          <w:sz w:val="20"/>
          <w:szCs w:val="20"/>
        </w:rPr>
        <w:t>传输数据。</w:t>
      </w:r>
      <w:r>
        <w:rPr>
          <w:rFonts w:ascii="微软雅黑" w:eastAsia="微软雅黑" w:hAnsi="微软雅黑" w:cs="微软雅黑" w:hint="eastAsia"/>
          <w:sz w:val="20"/>
          <w:szCs w:val="20"/>
        </w:rPr>
        <w:t>PF</w:t>
      </w:r>
      <w:r>
        <w:rPr>
          <w:rFonts w:ascii="微软雅黑" w:eastAsia="微软雅黑" w:hAnsi="微软雅黑" w:cs="微软雅黑" w:hint="eastAsia"/>
          <w:sz w:val="20"/>
          <w:szCs w:val="20"/>
        </w:rPr>
        <w:t>－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Meter </w:t>
      </w:r>
      <w:r>
        <w:rPr>
          <w:rFonts w:ascii="微软雅黑" w:eastAsia="微软雅黑" w:hAnsi="微软雅黑" w:cs="微软雅黑" w:hint="eastAsia"/>
          <w:sz w:val="20"/>
          <w:szCs w:val="20"/>
        </w:rPr>
        <w:t>可以与个人电脑直接相连，在线使用，该传感器同时具备模拟信号输出，以方便用户使用。</w:t>
      </w:r>
    </w:p>
    <w:p w:rsidR="00FC2F07" w:rsidRDefault="009403BD">
      <w:pPr>
        <w:spacing w:line="36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适用范围：</w:t>
      </w:r>
      <w:r>
        <w:rPr>
          <w:rFonts w:ascii="微软雅黑" w:eastAsia="微软雅黑" w:hAnsi="微软雅黑" w:cs="微软雅黑" w:hint="eastAsia"/>
          <w:sz w:val="20"/>
          <w:szCs w:val="20"/>
        </w:rPr>
        <w:t>极端干旱地区、冻土、路基等其他特殊领域土壤水的研究。</w:t>
      </w:r>
    </w:p>
    <w:p w:rsidR="00FC2F07" w:rsidRDefault="00FC2F07">
      <w:pPr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</w:pPr>
    </w:p>
    <w:p w:rsidR="00FC2F07" w:rsidRDefault="009403BD">
      <w:pPr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</w:pPr>
      <w:bookmarkStart w:id="1" w:name="_GoBack"/>
      <w:bookmarkEnd w:id="1"/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tbl>
      <w:tblPr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76"/>
        <w:gridCol w:w="5439"/>
      </w:tblGrid>
      <w:tr w:rsidR="00FC2F07">
        <w:trPr>
          <w:trHeight w:val="412"/>
        </w:trPr>
        <w:tc>
          <w:tcPr>
            <w:tcW w:w="831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PF Meter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土壤水势传感器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技术参数</w:t>
            </w:r>
          </w:p>
        </w:tc>
      </w:tr>
      <w:tr w:rsidR="00FC2F07">
        <w:trPr>
          <w:trHeight w:val="412"/>
        </w:trPr>
        <w:tc>
          <w:tcPr>
            <w:tcW w:w="28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测量范围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  <w:tc>
          <w:tcPr>
            <w:tcW w:w="5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pF 0-7 = 1-10,000,000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hPa</w:t>
            </w:r>
            <w:proofErr w:type="spellEnd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mBar</w:t>
            </w:r>
            <w:proofErr w:type="spellEnd"/>
          </w:p>
        </w:tc>
      </w:tr>
      <w:tr w:rsidR="00FC2F07">
        <w:trPr>
          <w:trHeight w:val="412"/>
        </w:trPr>
        <w:tc>
          <w:tcPr>
            <w:tcW w:w="28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免维护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  <w:tc>
          <w:tcPr>
            <w:tcW w:w="5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免除像传统张力计需要注水的维护</w:t>
            </w:r>
          </w:p>
        </w:tc>
      </w:tr>
      <w:tr w:rsidR="00FC2F07">
        <w:trPr>
          <w:trHeight w:val="412"/>
        </w:trPr>
        <w:tc>
          <w:tcPr>
            <w:tcW w:w="28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快速响应精度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  <w:tc>
          <w:tcPr>
            <w:tcW w:w="5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pF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±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0.05</w:t>
            </w:r>
          </w:p>
        </w:tc>
      </w:tr>
      <w:tr w:rsidR="00FC2F07">
        <w:trPr>
          <w:trHeight w:val="412"/>
        </w:trPr>
        <w:tc>
          <w:tcPr>
            <w:tcW w:w="28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测量土壤温度</w:t>
            </w:r>
          </w:p>
        </w:tc>
        <w:tc>
          <w:tcPr>
            <w:tcW w:w="5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精度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±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0.2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℃</w:t>
            </w:r>
          </w:p>
        </w:tc>
      </w:tr>
      <w:tr w:rsidR="00FC2F07">
        <w:trPr>
          <w:trHeight w:val="412"/>
        </w:trPr>
        <w:tc>
          <w:tcPr>
            <w:tcW w:w="28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2839A5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测量优点</w:t>
            </w:r>
          </w:p>
        </w:tc>
        <w:tc>
          <w:tcPr>
            <w:tcW w:w="5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2839A5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测量值不受土壤盐分的影响; 防霜冻</w:t>
            </w:r>
          </w:p>
        </w:tc>
      </w:tr>
      <w:tr w:rsidR="00FC2F07">
        <w:trPr>
          <w:trHeight w:val="412"/>
        </w:trPr>
        <w:tc>
          <w:tcPr>
            <w:tcW w:w="28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输出信号</w:t>
            </w:r>
          </w:p>
        </w:tc>
        <w:tc>
          <w:tcPr>
            <w:tcW w:w="5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数字信号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SDI-12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总线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水文总线协议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)</w:t>
            </w:r>
          </w:p>
        </w:tc>
      </w:tr>
      <w:tr w:rsidR="00FC2F07">
        <w:trPr>
          <w:trHeight w:val="412"/>
        </w:trPr>
        <w:tc>
          <w:tcPr>
            <w:tcW w:w="28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GP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总线</w:t>
            </w:r>
          </w:p>
        </w:tc>
        <w:tc>
          <w:tcPr>
            <w:tcW w:w="5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模拟信号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0-7 V = pF 0- pF 7  0-10V=10000mBar</w:t>
            </w:r>
          </w:p>
        </w:tc>
      </w:tr>
      <w:tr w:rsidR="00FC2F07">
        <w:trPr>
          <w:trHeight w:val="412"/>
        </w:trPr>
        <w:tc>
          <w:tcPr>
            <w:tcW w:w="28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供电电压</w:t>
            </w:r>
          </w:p>
        </w:tc>
        <w:tc>
          <w:tcPr>
            <w:tcW w:w="54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F07" w:rsidRDefault="009403BD">
            <w:pPr>
              <w:spacing w:line="360" w:lineRule="exact"/>
              <w:ind w:firstLineChars="200" w:firstLine="40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10V-16V</w:t>
            </w:r>
          </w:p>
        </w:tc>
      </w:tr>
    </w:tbl>
    <w:p w:rsidR="00FC2F07" w:rsidRDefault="00FC2F07">
      <w:pPr>
        <w:spacing w:line="36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</w:p>
    <w:sectPr w:rsidR="00FC2F07" w:rsidSect="00FC2F07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BD" w:rsidRDefault="009403BD" w:rsidP="00FC2F07">
      <w:r>
        <w:separator/>
      </w:r>
    </w:p>
  </w:endnote>
  <w:endnote w:type="continuationSeparator" w:id="0">
    <w:p w:rsidR="009403BD" w:rsidRDefault="009403BD" w:rsidP="00FC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07" w:rsidRDefault="009403BD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BD" w:rsidRDefault="009403BD" w:rsidP="00FC2F07">
      <w:r>
        <w:separator/>
      </w:r>
    </w:p>
  </w:footnote>
  <w:footnote w:type="continuationSeparator" w:id="0">
    <w:p w:rsidR="009403BD" w:rsidRDefault="009403BD" w:rsidP="00FC2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07" w:rsidRDefault="009403BD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0108"/>
    <w:rsid w:val="000871E2"/>
    <w:rsid w:val="000B52D2"/>
    <w:rsid w:val="00172975"/>
    <w:rsid w:val="001F7DFB"/>
    <w:rsid w:val="0025446B"/>
    <w:rsid w:val="002624BC"/>
    <w:rsid w:val="002653E2"/>
    <w:rsid w:val="002839A5"/>
    <w:rsid w:val="00290108"/>
    <w:rsid w:val="002B136F"/>
    <w:rsid w:val="0036539B"/>
    <w:rsid w:val="00405D05"/>
    <w:rsid w:val="00415827"/>
    <w:rsid w:val="0042643E"/>
    <w:rsid w:val="004D4D3B"/>
    <w:rsid w:val="005112F4"/>
    <w:rsid w:val="00531EC9"/>
    <w:rsid w:val="005353C6"/>
    <w:rsid w:val="005A6A7D"/>
    <w:rsid w:val="00730259"/>
    <w:rsid w:val="00852C71"/>
    <w:rsid w:val="00863984"/>
    <w:rsid w:val="008D5B1D"/>
    <w:rsid w:val="009144CE"/>
    <w:rsid w:val="009403BD"/>
    <w:rsid w:val="0099721B"/>
    <w:rsid w:val="00AE5C0E"/>
    <w:rsid w:val="00AF765C"/>
    <w:rsid w:val="00B37B97"/>
    <w:rsid w:val="00BE1D4A"/>
    <w:rsid w:val="00C16C96"/>
    <w:rsid w:val="00C63114"/>
    <w:rsid w:val="00C67C73"/>
    <w:rsid w:val="00E02782"/>
    <w:rsid w:val="00E8038B"/>
    <w:rsid w:val="00ED4CD6"/>
    <w:rsid w:val="00F90CB9"/>
    <w:rsid w:val="00FC2F07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6455BE0"/>
    <w:rsid w:val="187E3DCC"/>
    <w:rsid w:val="1B4B150A"/>
    <w:rsid w:val="202D73B8"/>
    <w:rsid w:val="24C33941"/>
    <w:rsid w:val="25D157B3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C2F07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C2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C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C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C2F07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FC2F0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FC2F07"/>
    <w:rPr>
      <w:color w:val="1064A0"/>
      <w:u w:val="none"/>
    </w:rPr>
  </w:style>
  <w:style w:type="character" w:styleId="a9">
    <w:name w:val="Emphasis"/>
    <w:basedOn w:val="a0"/>
    <w:uiPriority w:val="20"/>
    <w:qFormat/>
    <w:rsid w:val="00FC2F07"/>
  </w:style>
  <w:style w:type="character" w:styleId="aa">
    <w:name w:val="Hyperlink"/>
    <w:basedOn w:val="a0"/>
    <w:uiPriority w:val="99"/>
    <w:semiHidden/>
    <w:unhideWhenUsed/>
    <w:qFormat/>
    <w:rsid w:val="00FC2F07"/>
    <w:rPr>
      <w:color w:val="1064A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C2F0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C2F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C2F0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link w:val="1"/>
    <w:rsid w:val="00FC2F07"/>
    <w:rPr>
      <w:rFonts w:ascii="微软雅黑" w:eastAsia="微软雅黑" w:hAnsi="微软雅黑" w:cs="Times New Roman"/>
      <w:color w:val="0188DE"/>
      <w:kern w:val="44"/>
      <w:sz w:val="66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9B5F6E-D9DC-43C5-BAC3-409A83B6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北京华益瑞科技有限公司</cp:lastModifiedBy>
  <cp:revision>26</cp:revision>
  <dcterms:created xsi:type="dcterms:W3CDTF">2019-01-15T03:14:00Z</dcterms:created>
  <dcterms:modified xsi:type="dcterms:W3CDTF">2020-02-17T13:32:00Z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