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83" w:rsidRDefault="004E320F">
      <w:pPr>
        <w:spacing w:line="360" w:lineRule="exact"/>
        <w:jc w:val="left"/>
        <w:rPr>
          <w:rFonts w:cs="微软雅黑"/>
          <w:b/>
          <w:color w:val="0070C0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-791210</wp:posOffset>
            </wp:positionV>
            <wp:extent cx="1073150" cy="3604895"/>
            <wp:effectExtent l="0" t="0" r="14605" b="12700"/>
            <wp:wrapTopAndBottom/>
            <wp:docPr id="3" name="图片 3" descr="C:\Users\Administrator.QMSD-20171119BJ\AppData\Roaming\Tencent\QQ\Temp\TempPic\%V{{AD719}R20]NEEYD7[_P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.QMSD-20171119BJ\AppData\Roaming\Tencent\QQ\Temp\TempPic\%V{{AD719}R20]NEEYD7[_P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315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Toc3429"/>
      <w:proofErr w:type="spellStart"/>
      <w:r>
        <w:rPr>
          <w:rFonts w:cs="微软雅黑" w:hint="eastAsia"/>
          <w:b/>
          <w:color w:val="0070C0"/>
          <w:sz w:val="28"/>
          <w:szCs w:val="28"/>
        </w:rPr>
        <w:t>TensioMark</w:t>
      </w:r>
      <w:proofErr w:type="spellEnd"/>
      <w:r>
        <w:rPr>
          <w:rFonts w:cs="微软雅黑" w:hint="eastAsia"/>
          <w:b/>
          <w:color w:val="0070C0"/>
          <w:sz w:val="28"/>
          <w:szCs w:val="28"/>
        </w:rPr>
        <w:t>土壤水势传感器</w:t>
      </w:r>
      <w:bookmarkEnd w:id="0"/>
    </w:p>
    <w:p w:rsidR="009746DA" w:rsidRDefault="00FE5A05" w:rsidP="009746DA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Stevens</w:t>
      </w:r>
    </w:p>
    <w:p w:rsidR="00A02C83" w:rsidRPr="009746DA" w:rsidRDefault="009746DA" w:rsidP="009746DA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bookmarkStart w:id="1" w:name="OLE_LINK1"/>
      <w:bookmarkStart w:id="2" w:name="OLE_LINK2"/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产品简介</w:t>
      </w:r>
    </w:p>
    <w:bookmarkEnd w:id="1"/>
    <w:bookmarkEnd w:id="2"/>
    <w:p w:rsidR="00A02C83" w:rsidRDefault="004E320F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采用特殊设计的陶瓷平衡系统,基于摩尔热容原理,直接测量热容的变化，通过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内部微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控制器MCU进行转换得出精度的水势值,但无需注水维护，测量值不受土壤盐分的影响。</w:t>
      </w:r>
    </w:p>
    <w:p w:rsidR="00A02C83" w:rsidRDefault="004E320F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广泛应用于SPAC子系统、田间土壤水分特征曲线、水土侵蚀、土力学特性研究等领域土壤水的研究、作物需水控制等。防霜冻不受土壤盐分影响。</w:t>
      </w:r>
    </w:p>
    <w:p w:rsidR="009746DA" w:rsidRDefault="009746DA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9746DA" w:rsidRDefault="009746DA" w:rsidP="009746DA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产品优点</w:t>
      </w:r>
    </w:p>
    <w:p w:rsidR="009746DA" w:rsidRPr="009746DA" w:rsidRDefault="009746DA" w:rsidP="009746DA">
      <w:pPr>
        <w:pStyle w:val="ae"/>
        <w:widowControl/>
        <w:numPr>
          <w:ilvl w:val="0"/>
          <w:numId w:val="1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746DA">
        <w:rPr>
          <w:rFonts w:ascii="微软雅黑" w:eastAsia="微软雅黑" w:hAnsi="微软雅黑" w:cs="微软雅黑" w:hint="eastAsia"/>
          <w:sz w:val="20"/>
          <w:szCs w:val="20"/>
        </w:rPr>
        <w:t>防霜冻</w:t>
      </w:r>
    </w:p>
    <w:p w:rsidR="009746DA" w:rsidRPr="009746DA" w:rsidRDefault="009746DA" w:rsidP="009746DA">
      <w:pPr>
        <w:pStyle w:val="ae"/>
        <w:widowControl/>
        <w:numPr>
          <w:ilvl w:val="0"/>
          <w:numId w:val="1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746DA">
        <w:rPr>
          <w:rFonts w:ascii="微软雅黑" w:eastAsia="微软雅黑" w:hAnsi="微软雅黑" w:cs="微软雅黑" w:hint="eastAsia"/>
          <w:sz w:val="20"/>
          <w:szCs w:val="20"/>
        </w:rPr>
        <w:t>不受土壤盐分影响</w:t>
      </w:r>
    </w:p>
    <w:p w:rsidR="00A02C83" w:rsidRDefault="00A02C8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A02C83" w:rsidRDefault="004E320F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技术参数</w:t>
      </w:r>
    </w:p>
    <w:tbl>
      <w:tblPr>
        <w:tblpPr w:leftFromText="180" w:rightFromText="180" w:vertAnchor="text" w:horzAnchor="page" w:tblpX="1780" w:tblpY="3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4609"/>
      </w:tblGrid>
      <w:tr w:rsidR="00A02C83">
        <w:trPr>
          <w:trHeight w:val="516"/>
        </w:trPr>
        <w:tc>
          <w:tcPr>
            <w:tcW w:w="3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2C83" w:rsidRDefault="004E320F">
            <w:pPr>
              <w:widowControl/>
              <w:spacing w:line="360" w:lineRule="exact"/>
              <w:ind w:leftChars="100" w:left="21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输出信号</w:t>
            </w:r>
          </w:p>
        </w:tc>
        <w:tc>
          <w:tcPr>
            <w:tcW w:w="46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2C83" w:rsidRDefault="004E320F">
            <w:pPr>
              <w:widowControl/>
              <w:spacing w:line="360" w:lineRule="exact"/>
              <w:ind w:leftChars="100" w:left="21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数字：SDI-12</w:t>
            </w:r>
            <w:r w:rsidR="00E63084"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; 模拟：0-10V</w:t>
            </w:r>
          </w:p>
        </w:tc>
      </w:tr>
      <w:tr w:rsidR="00A02C83">
        <w:trPr>
          <w:trHeight w:val="516"/>
        </w:trPr>
        <w:tc>
          <w:tcPr>
            <w:tcW w:w="3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2C83" w:rsidRDefault="004E320F">
            <w:pPr>
              <w:widowControl/>
              <w:spacing w:line="360" w:lineRule="exact"/>
              <w:ind w:leftChars="100" w:left="21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测量范围</w:t>
            </w:r>
          </w:p>
        </w:tc>
        <w:tc>
          <w:tcPr>
            <w:tcW w:w="46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2C83" w:rsidRDefault="004E320F">
            <w:pPr>
              <w:widowControl/>
              <w:spacing w:line="360" w:lineRule="exact"/>
              <w:ind w:leftChars="100" w:left="21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0-1000,-2000,-3000hpa可选</w:t>
            </w:r>
          </w:p>
        </w:tc>
      </w:tr>
      <w:tr w:rsidR="00A02C83">
        <w:trPr>
          <w:trHeight w:val="516"/>
        </w:trPr>
        <w:tc>
          <w:tcPr>
            <w:tcW w:w="3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2C83" w:rsidRDefault="004E320F">
            <w:pPr>
              <w:widowControl/>
              <w:spacing w:line="360" w:lineRule="exact"/>
              <w:ind w:leftChars="100" w:left="21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直    径</w:t>
            </w:r>
          </w:p>
        </w:tc>
        <w:tc>
          <w:tcPr>
            <w:tcW w:w="46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2C83" w:rsidRDefault="004E320F">
            <w:pPr>
              <w:widowControl/>
              <w:spacing w:line="360" w:lineRule="exact"/>
              <w:ind w:leftChars="100" w:left="21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20mm</w:t>
            </w:r>
          </w:p>
        </w:tc>
      </w:tr>
      <w:tr w:rsidR="00A02C83">
        <w:trPr>
          <w:trHeight w:val="516"/>
        </w:trPr>
        <w:tc>
          <w:tcPr>
            <w:tcW w:w="3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2C83" w:rsidRDefault="004E320F">
            <w:pPr>
              <w:widowControl/>
              <w:spacing w:line="360" w:lineRule="exact"/>
              <w:ind w:leftChars="100" w:left="21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长    度</w:t>
            </w:r>
          </w:p>
        </w:tc>
        <w:tc>
          <w:tcPr>
            <w:tcW w:w="46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2C83" w:rsidRDefault="004E320F">
            <w:pPr>
              <w:widowControl/>
              <w:spacing w:line="360" w:lineRule="exact"/>
              <w:ind w:leftChars="100" w:left="21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用户定长</w:t>
            </w:r>
          </w:p>
        </w:tc>
      </w:tr>
      <w:tr w:rsidR="00A02C83">
        <w:trPr>
          <w:trHeight w:val="516"/>
        </w:trPr>
        <w:tc>
          <w:tcPr>
            <w:tcW w:w="3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2C83" w:rsidRDefault="004E320F">
            <w:pPr>
              <w:widowControl/>
              <w:spacing w:line="360" w:lineRule="exact"/>
              <w:ind w:leftChars="100" w:left="21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供电电压</w:t>
            </w:r>
          </w:p>
        </w:tc>
        <w:tc>
          <w:tcPr>
            <w:tcW w:w="46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2C83" w:rsidRDefault="004E320F">
            <w:pPr>
              <w:widowControl/>
              <w:spacing w:line="360" w:lineRule="exact"/>
              <w:ind w:leftChars="100" w:left="21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12Vdc</w:t>
            </w:r>
          </w:p>
        </w:tc>
      </w:tr>
      <w:tr w:rsidR="00A02C83">
        <w:trPr>
          <w:trHeight w:val="527"/>
        </w:trPr>
        <w:tc>
          <w:tcPr>
            <w:tcW w:w="3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2C83" w:rsidRDefault="004E320F">
            <w:pPr>
              <w:widowControl/>
              <w:spacing w:line="360" w:lineRule="exact"/>
              <w:ind w:leftChars="100" w:left="21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电缆长度</w:t>
            </w:r>
          </w:p>
        </w:tc>
        <w:tc>
          <w:tcPr>
            <w:tcW w:w="46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2C83" w:rsidRDefault="004E320F">
            <w:pPr>
              <w:widowControl/>
              <w:spacing w:line="360" w:lineRule="exact"/>
              <w:ind w:leftChars="100" w:left="21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bookmarkStart w:id="3" w:name="_GoBack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5m</w:t>
            </w:r>
            <w:bookmarkEnd w:id="3"/>
          </w:p>
        </w:tc>
      </w:tr>
    </w:tbl>
    <w:p w:rsidR="00A02C83" w:rsidRDefault="00A02C83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sectPr w:rsidR="00A02C83" w:rsidSect="00A02C83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161" w:rsidRDefault="00D81161" w:rsidP="00A02C83">
      <w:r>
        <w:separator/>
      </w:r>
    </w:p>
  </w:endnote>
  <w:endnote w:type="continuationSeparator" w:id="0">
    <w:p w:rsidR="00D81161" w:rsidRDefault="00D81161" w:rsidP="00A0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83" w:rsidRDefault="004E320F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161" w:rsidRDefault="00D81161" w:rsidP="00A02C83">
      <w:r>
        <w:separator/>
      </w:r>
    </w:p>
  </w:footnote>
  <w:footnote w:type="continuationSeparator" w:id="0">
    <w:p w:rsidR="00D81161" w:rsidRDefault="00D81161" w:rsidP="00A0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83" w:rsidRDefault="004E320F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D03B"/>
    <w:multiLevelType w:val="singleLevel"/>
    <w:tmpl w:val="2E2BD03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023BF3"/>
    <w:rsid w:val="00172975"/>
    <w:rsid w:val="00290108"/>
    <w:rsid w:val="002B136F"/>
    <w:rsid w:val="0036539B"/>
    <w:rsid w:val="0042643E"/>
    <w:rsid w:val="004E320F"/>
    <w:rsid w:val="00531EC9"/>
    <w:rsid w:val="005C012D"/>
    <w:rsid w:val="00730259"/>
    <w:rsid w:val="008A32CB"/>
    <w:rsid w:val="008C032A"/>
    <w:rsid w:val="009746DA"/>
    <w:rsid w:val="009C4013"/>
    <w:rsid w:val="00A02C83"/>
    <w:rsid w:val="00C63114"/>
    <w:rsid w:val="00D81161"/>
    <w:rsid w:val="00DB0481"/>
    <w:rsid w:val="00E63084"/>
    <w:rsid w:val="00E8038B"/>
    <w:rsid w:val="00ED4CD6"/>
    <w:rsid w:val="00F85CEC"/>
    <w:rsid w:val="00FD6534"/>
    <w:rsid w:val="00FE5A05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6B78511F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8FD6BE4-CF55-4B61-92FB-0F768538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2C83"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02C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02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A02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A02C83"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sid w:val="00A02C83"/>
    <w:rPr>
      <w:b/>
    </w:rPr>
  </w:style>
  <w:style w:type="character" w:styleId="ab">
    <w:name w:val="FollowedHyperlink"/>
    <w:basedOn w:val="a0"/>
    <w:uiPriority w:val="99"/>
    <w:semiHidden/>
    <w:unhideWhenUsed/>
    <w:qFormat/>
    <w:rsid w:val="00A02C83"/>
    <w:rPr>
      <w:color w:val="1064A0"/>
      <w:u w:val="none"/>
    </w:rPr>
  </w:style>
  <w:style w:type="character" w:styleId="ac">
    <w:name w:val="Emphasis"/>
    <w:basedOn w:val="a0"/>
    <w:uiPriority w:val="20"/>
    <w:qFormat/>
    <w:rsid w:val="00A02C83"/>
  </w:style>
  <w:style w:type="character" w:styleId="ad">
    <w:name w:val="Hyperlink"/>
    <w:basedOn w:val="a0"/>
    <w:uiPriority w:val="99"/>
    <w:semiHidden/>
    <w:unhideWhenUsed/>
    <w:qFormat/>
    <w:rsid w:val="00A02C83"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sid w:val="00A02C8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02C8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A02C8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link w:val="1"/>
    <w:uiPriority w:val="9"/>
    <w:qFormat/>
    <w:rsid w:val="00A02C83"/>
    <w:rPr>
      <w:rFonts w:ascii="微软雅黑" w:eastAsia="微软雅黑" w:hAnsi="微软雅黑"/>
      <w:color w:val="0188DE"/>
      <w:kern w:val="44"/>
      <w:sz w:val="66"/>
      <w:szCs w:val="66"/>
    </w:rPr>
  </w:style>
  <w:style w:type="paragraph" w:styleId="ae">
    <w:name w:val="List Paragraph"/>
    <w:basedOn w:val="a"/>
    <w:uiPriority w:val="99"/>
    <w:unhideWhenUsed/>
    <w:rsid w:val="009746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Administrator</cp:lastModifiedBy>
  <cp:revision>11</cp:revision>
  <cp:lastPrinted>2020-02-17T13:38:00Z</cp:lastPrinted>
  <dcterms:created xsi:type="dcterms:W3CDTF">2019-01-15T03:14:00Z</dcterms:created>
  <dcterms:modified xsi:type="dcterms:W3CDTF">2020-08-05T08:03:00Z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