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24" w:rsidRDefault="005B61A8">
      <w:pPr>
        <w:spacing w:line="360" w:lineRule="exact"/>
        <w:jc w:val="left"/>
        <w:rPr>
          <w:rFonts w:ascii="微软雅黑" w:eastAsia="微软雅黑" w:hAnsi="微软雅黑" w:cs="微软雅黑"/>
          <w:b/>
          <w:color w:val="0070C0"/>
          <w:sz w:val="20"/>
          <w:szCs w:val="20"/>
        </w:rPr>
      </w:pPr>
      <w:r>
        <w:rPr>
          <w:rFonts w:ascii="微软雅黑" w:eastAsia="微软雅黑" w:hAnsi="微软雅黑" w:cs="微软雅黑" w:hint="eastAsia"/>
          <w:noProof/>
          <w:sz w:val="20"/>
          <w:szCs w:val="20"/>
        </w:rPr>
        <w:drawing>
          <wp:anchor distT="0" distB="0" distL="114300" distR="114300" simplePos="0" relativeHeight="251657216" behindDoc="0" locked="0" layoutInCell="1" allowOverlap="1">
            <wp:simplePos x="0" y="0"/>
            <wp:positionH relativeFrom="column">
              <wp:posOffset>3513455</wp:posOffset>
            </wp:positionH>
            <wp:positionV relativeFrom="paragraph">
              <wp:posOffset>-27305</wp:posOffset>
            </wp:positionV>
            <wp:extent cx="1760855" cy="201168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60855" cy="2011680"/>
                    </a:xfrm>
                    <a:prstGeom prst="rect">
                      <a:avLst/>
                    </a:prstGeom>
                    <a:noFill/>
                    <a:ln>
                      <a:noFill/>
                    </a:ln>
                    <a:effectLst/>
                  </pic:spPr>
                </pic:pic>
              </a:graphicData>
            </a:graphic>
          </wp:anchor>
        </w:drawing>
      </w:r>
    </w:p>
    <w:p w:rsidR="00467324" w:rsidRDefault="005B61A8">
      <w:pPr>
        <w:widowControl/>
        <w:shd w:val="clear" w:color="auto" w:fill="FFFFFF"/>
        <w:spacing w:line="360" w:lineRule="exact"/>
        <w:jc w:val="left"/>
        <w:rPr>
          <w:rFonts w:ascii="微软雅黑" w:eastAsia="微软雅黑" w:hAnsi="微软雅黑" w:cs="微软雅黑"/>
          <w:b/>
          <w:color w:val="0070C0"/>
          <w:sz w:val="28"/>
          <w:szCs w:val="28"/>
        </w:rPr>
      </w:pPr>
      <w:r>
        <w:rPr>
          <w:rFonts w:ascii="微软雅黑" w:eastAsia="微软雅黑" w:hAnsi="微软雅黑" w:cs="微软雅黑"/>
          <w:b/>
          <w:color w:val="0070C0"/>
          <w:sz w:val="28"/>
          <w:szCs w:val="28"/>
        </w:rPr>
        <w:t>L2130-i</w:t>
      </w:r>
      <w:r>
        <w:rPr>
          <w:rFonts w:ascii="微软雅黑" w:eastAsia="微软雅黑" w:hAnsi="微软雅黑" w:cs="微软雅黑"/>
          <w:b/>
          <w:color w:val="0070C0"/>
          <w:sz w:val="28"/>
          <w:szCs w:val="28"/>
        </w:rPr>
        <w:t>水同位素及土壤水真空抽提系统</w:t>
      </w:r>
    </w:p>
    <w:p w:rsidR="00467324" w:rsidRDefault="00467324">
      <w:pPr>
        <w:widowControl/>
        <w:shd w:val="clear" w:color="auto" w:fill="FFFFFF"/>
        <w:spacing w:line="360" w:lineRule="exact"/>
        <w:jc w:val="left"/>
        <w:rPr>
          <w:rFonts w:ascii="微软雅黑" w:eastAsia="微软雅黑" w:hAnsi="微软雅黑" w:cs="微软雅黑"/>
          <w:b/>
          <w:color w:val="0070C0"/>
          <w:sz w:val="28"/>
          <w:szCs w:val="28"/>
        </w:rPr>
      </w:pPr>
    </w:p>
    <w:p w:rsidR="00467324" w:rsidRDefault="005B61A8">
      <w:pPr>
        <w:widowControl/>
        <w:spacing w:line="360" w:lineRule="exact"/>
        <w:ind w:firstLineChars="200" w:firstLine="400"/>
        <w:jc w:val="left"/>
        <w:rPr>
          <w:rFonts w:ascii="微软雅黑" w:eastAsia="微软雅黑" w:hAnsi="微软雅黑" w:cs="微软雅黑"/>
          <w:sz w:val="20"/>
          <w:szCs w:val="20"/>
        </w:rPr>
      </w:pPr>
      <w:proofErr w:type="spellStart"/>
      <w:r>
        <w:rPr>
          <w:rFonts w:ascii="微软雅黑" w:eastAsia="微软雅黑" w:hAnsi="微软雅黑" w:cs="微软雅黑" w:hint="eastAsia"/>
          <w:sz w:val="20"/>
          <w:szCs w:val="20"/>
        </w:rPr>
        <w:t>Picarro</w:t>
      </w:r>
      <w:proofErr w:type="spellEnd"/>
      <w:r>
        <w:rPr>
          <w:rFonts w:ascii="微软雅黑" w:eastAsia="微软雅黑" w:hAnsi="微软雅黑" w:cs="微软雅黑" w:hint="eastAsia"/>
          <w:sz w:val="20"/>
          <w:szCs w:val="20"/>
        </w:rPr>
        <w:t xml:space="preserve"> L2130-i  </w:t>
      </w:r>
      <w:r>
        <w:rPr>
          <w:rFonts w:ascii="微软雅黑" w:eastAsia="微软雅黑" w:hAnsi="微软雅黑" w:cs="微软雅黑" w:hint="eastAsia"/>
          <w:sz w:val="20"/>
          <w:szCs w:val="20"/>
        </w:rPr>
        <w:t>液态水和水汽同位素分析仪以极高的精度同步测量δ</w:t>
      </w:r>
      <w:r>
        <w:rPr>
          <w:rFonts w:ascii="微软雅黑" w:eastAsia="微软雅黑" w:hAnsi="微软雅黑" w:cs="微软雅黑" w:hint="eastAsia"/>
          <w:sz w:val="20"/>
          <w:szCs w:val="20"/>
        </w:rPr>
        <w:t>18O</w:t>
      </w:r>
      <w:r>
        <w:rPr>
          <w:rFonts w:ascii="微软雅黑" w:eastAsia="微软雅黑" w:hAnsi="微软雅黑" w:cs="微软雅黑" w:hint="eastAsia"/>
          <w:sz w:val="20"/>
          <w:szCs w:val="20"/>
        </w:rPr>
        <w:t>和δ</w:t>
      </w:r>
      <w:r>
        <w:rPr>
          <w:rFonts w:ascii="微软雅黑" w:eastAsia="微软雅黑" w:hAnsi="微软雅黑" w:cs="微软雅黑" w:hint="eastAsia"/>
          <w:sz w:val="20"/>
          <w:szCs w:val="20"/>
        </w:rPr>
        <w:t>D</w:t>
      </w:r>
      <w:r>
        <w:rPr>
          <w:rFonts w:ascii="微软雅黑" w:eastAsia="微软雅黑" w:hAnsi="微软雅黑" w:cs="微软雅黑" w:hint="eastAsia"/>
          <w:sz w:val="20"/>
          <w:szCs w:val="20"/>
        </w:rPr>
        <w:t>。严谨的设计可在十几秒内完成液态水和气态水测量模式的转换而不需要重新校准或重新配置分析仪。</w:t>
      </w:r>
      <w:r>
        <w:rPr>
          <w:rFonts w:ascii="微软雅黑" w:eastAsia="微软雅黑" w:hAnsi="微软雅黑" w:cs="微软雅黑" w:hint="eastAsia"/>
          <w:sz w:val="20"/>
          <w:szCs w:val="20"/>
        </w:rPr>
        <w:t>L2130-i</w:t>
      </w:r>
      <w:r>
        <w:rPr>
          <w:rFonts w:ascii="微软雅黑" w:eastAsia="微软雅黑" w:hAnsi="微软雅黑" w:cs="微软雅黑" w:hint="eastAsia"/>
          <w:sz w:val="20"/>
          <w:szCs w:val="20"/>
        </w:rPr>
        <w:t>集成在一个紧凑的模块中，科学的工程学设计便于野外或实验室应用。</w:t>
      </w:r>
    </w:p>
    <w:p w:rsidR="00467324" w:rsidRDefault="005B61A8">
      <w:pPr>
        <w:widowControl/>
        <w:spacing w:line="360" w:lineRule="exact"/>
        <w:ind w:firstLineChars="200" w:firstLine="400"/>
        <w:jc w:val="left"/>
        <w:rPr>
          <w:rFonts w:ascii="微软雅黑" w:eastAsia="微软雅黑" w:hAnsi="微软雅黑" w:cs="微软雅黑" w:hint="eastAsia"/>
          <w:sz w:val="20"/>
          <w:szCs w:val="20"/>
        </w:rPr>
      </w:pPr>
      <w:r>
        <w:rPr>
          <w:rFonts w:ascii="微软雅黑" w:eastAsia="微软雅黑" w:hAnsi="微软雅黑" w:cs="微软雅黑" w:hint="eastAsia"/>
          <w:sz w:val="20"/>
          <w:szCs w:val="20"/>
        </w:rPr>
        <w:t>该设备采用</w:t>
      </w:r>
      <w:proofErr w:type="spellStart"/>
      <w:r>
        <w:rPr>
          <w:rFonts w:ascii="微软雅黑" w:eastAsia="微软雅黑" w:hAnsi="微软雅黑" w:cs="微软雅黑" w:hint="eastAsia"/>
          <w:sz w:val="20"/>
          <w:szCs w:val="20"/>
        </w:rPr>
        <w:t>Picarro</w:t>
      </w:r>
      <w:proofErr w:type="spellEnd"/>
      <w:r>
        <w:rPr>
          <w:rFonts w:ascii="微软雅黑" w:eastAsia="微软雅黑" w:hAnsi="微软雅黑" w:cs="微软雅黑" w:hint="eastAsia"/>
          <w:sz w:val="20"/>
          <w:szCs w:val="20"/>
        </w:rPr>
        <w:t>独一无二的波长扫描光腔衰荡光谱（</w:t>
      </w:r>
      <w:r>
        <w:rPr>
          <w:rFonts w:ascii="微软雅黑" w:eastAsia="微软雅黑" w:hAnsi="微软雅黑" w:cs="微软雅黑" w:hint="eastAsia"/>
          <w:sz w:val="20"/>
          <w:szCs w:val="20"/>
        </w:rPr>
        <w:t>WS-CRDS</w:t>
      </w:r>
      <w:r>
        <w:rPr>
          <w:rFonts w:ascii="微软雅黑" w:eastAsia="微软雅黑" w:hAnsi="微软雅黑" w:cs="微软雅黑" w:hint="eastAsia"/>
          <w:sz w:val="20"/>
          <w:szCs w:val="20"/>
        </w:rPr>
        <w:t>）技术，通过高精确度特定识别的传感器，测量有效路径可达</w:t>
      </w:r>
      <w:r>
        <w:rPr>
          <w:rFonts w:ascii="微软雅黑" w:eastAsia="微软雅黑" w:hAnsi="微软雅黑" w:cs="微软雅黑" w:hint="eastAsia"/>
          <w:sz w:val="20"/>
          <w:szCs w:val="20"/>
        </w:rPr>
        <w:t>20</w:t>
      </w:r>
      <w:r>
        <w:rPr>
          <w:rFonts w:ascii="微软雅黑" w:eastAsia="微软雅黑" w:hAnsi="微软雅黑" w:cs="微软雅黑" w:hint="eastAsia"/>
          <w:sz w:val="20"/>
          <w:szCs w:val="20"/>
        </w:rPr>
        <w:t>千米的目标气体的激光衰荡时间。该分析仪精密的温度和压力控制系统确保仪器能在非常长的周期内很少需要校准，即使在不断变化的环境条件下可以维持高度的线性、精确度和准确性。</w:t>
      </w:r>
    </w:p>
    <w:p w:rsidR="00697428" w:rsidRDefault="00697428">
      <w:pPr>
        <w:widowControl/>
        <w:spacing w:line="360" w:lineRule="exact"/>
        <w:ind w:firstLineChars="200" w:firstLine="400"/>
        <w:jc w:val="left"/>
        <w:rPr>
          <w:rFonts w:ascii="微软雅黑" w:eastAsia="微软雅黑" w:hAnsi="微软雅黑" w:cs="微软雅黑"/>
          <w:sz w:val="20"/>
          <w:szCs w:val="20"/>
        </w:rPr>
      </w:pPr>
    </w:p>
    <w:p w:rsidR="00467324" w:rsidRDefault="005B61A8">
      <w:pPr>
        <w:widowControl/>
        <w:spacing w:line="360" w:lineRule="exact"/>
        <w:jc w:val="left"/>
        <w:rPr>
          <w:rFonts w:ascii="微软雅黑" w:eastAsia="微软雅黑" w:hAnsi="微软雅黑" w:cs="微软雅黑"/>
          <w:color w:val="0070C0"/>
          <w:sz w:val="20"/>
          <w:szCs w:val="20"/>
        </w:rPr>
      </w:pPr>
      <w:r>
        <w:rPr>
          <w:rFonts w:ascii="微软雅黑" w:eastAsia="微软雅黑" w:hAnsi="微软雅黑" w:cs="微软雅黑" w:hint="eastAsia"/>
          <w:color w:val="0070C0"/>
          <w:sz w:val="20"/>
          <w:szCs w:val="20"/>
        </w:rPr>
        <w:t>产品</w:t>
      </w:r>
      <w:r>
        <w:rPr>
          <w:rFonts w:ascii="微软雅黑" w:eastAsia="微软雅黑" w:hAnsi="微软雅黑" w:cs="微软雅黑"/>
          <w:color w:val="0070C0"/>
          <w:sz w:val="20"/>
          <w:szCs w:val="20"/>
        </w:rPr>
        <w:t>优势</w:t>
      </w:r>
    </w:p>
    <w:p w:rsidR="00467324" w:rsidRDefault="005B61A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同步测量δ</w:t>
      </w:r>
      <w:r>
        <w:rPr>
          <w:rFonts w:ascii="微软雅黑" w:eastAsia="微软雅黑" w:hAnsi="微软雅黑" w:cs="微软雅黑" w:hint="eastAsia"/>
          <w:sz w:val="20"/>
          <w:szCs w:val="20"/>
        </w:rPr>
        <w:t>18O</w:t>
      </w:r>
      <w:r>
        <w:rPr>
          <w:rFonts w:ascii="微软雅黑" w:eastAsia="微软雅黑" w:hAnsi="微软雅黑" w:cs="微软雅黑" w:hint="eastAsia"/>
          <w:sz w:val="20"/>
          <w:szCs w:val="20"/>
        </w:rPr>
        <w:t>和δ</w:t>
      </w:r>
      <w:r>
        <w:rPr>
          <w:rFonts w:ascii="微软雅黑" w:eastAsia="微软雅黑" w:hAnsi="微软雅黑" w:cs="微软雅黑" w:hint="eastAsia"/>
          <w:sz w:val="20"/>
          <w:szCs w:val="20"/>
        </w:rPr>
        <w:t>D</w:t>
      </w:r>
    </w:p>
    <w:p w:rsidR="00467324" w:rsidRDefault="005B61A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可以进行液态水和气态水的同位素测量，测量转换时间在秒级</w:t>
      </w:r>
    </w:p>
    <w:p w:rsidR="00467324" w:rsidRDefault="005B61A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最高的准确度，应用</w:t>
      </w:r>
      <w:r>
        <w:rPr>
          <w:rFonts w:ascii="微软雅黑" w:eastAsia="微软雅黑" w:hAnsi="微软雅黑" w:cs="微软雅黑" w:hint="eastAsia"/>
          <w:sz w:val="20"/>
          <w:szCs w:val="20"/>
        </w:rPr>
        <w:t>A0211</w:t>
      </w:r>
      <w:r>
        <w:rPr>
          <w:rFonts w:ascii="微软雅黑" w:eastAsia="微软雅黑" w:hAnsi="微软雅黑" w:cs="微软雅黑" w:hint="eastAsia"/>
          <w:sz w:val="20"/>
          <w:szCs w:val="20"/>
        </w:rPr>
        <w:t>高精度汽化装置，其精度优于质谱仪</w:t>
      </w:r>
    </w:p>
    <w:p w:rsidR="00467324" w:rsidRDefault="005B61A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最快的测量速率，应用</w:t>
      </w:r>
      <w:r>
        <w:rPr>
          <w:rFonts w:ascii="微软雅黑" w:eastAsia="微软雅黑" w:hAnsi="微软雅黑" w:cs="微软雅黑" w:hint="eastAsia"/>
          <w:sz w:val="20"/>
          <w:szCs w:val="20"/>
        </w:rPr>
        <w:t>A0212</w:t>
      </w:r>
      <w:r>
        <w:rPr>
          <w:rFonts w:ascii="微软雅黑" w:eastAsia="微软雅黑" w:hAnsi="微软雅黑" w:cs="微软雅黑" w:hint="eastAsia"/>
          <w:sz w:val="20"/>
          <w:szCs w:val="20"/>
        </w:rPr>
        <w:t>高速汽化装置，其测量速度可达</w:t>
      </w:r>
      <w:r>
        <w:rPr>
          <w:rFonts w:ascii="微软雅黑" w:eastAsia="微软雅黑" w:hAnsi="微软雅黑" w:cs="微软雅黑" w:hint="eastAsia"/>
          <w:sz w:val="20"/>
          <w:szCs w:val="20"/>
        </w:rPr>
        <w:t>750</w:t>
      </w:r>
      <w:r>
        <w:rPr>
          <w:rFonts w:ascii="微软雅黑" w:eastAsia="微软雅黑" w:hAnsi="微软雅黑" w:cs="微软雅黑" w:hint="eastAsia"/>
          <w:sz w:val="20"/>
          <w:szCs w:val="20"/>
        </w:rPr>
        <w:t>针</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天</w:t>
      </w:r>
    </w:p>
    <w:p w:rsidR="00467324" w:rsidRDefault="005B61A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最小的记忆效应和漂移，对环境温度变化不敏感</w:t>
      </w:r>
    </w:p>
    <w:p w:rsidR="00467324" w:rsidRDefault="005B61A8">
      <w:pPr>
        <w:widowControl/>
        <w:numPr>
          <w:ilvl w:val="0"/>
          <w:numId w:val="1"/>
        </w:numPr>
        <w:spacing w:line="360" w:lineRule="exact"/>
        <w:ind w:left="0"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可在任何环境下应用，无需耗材</w:t>
      </w:r>
    </w:p>
    <w:p w:rsidR="00467324" w:rsidRPr="00697428" w:rsidRDefault="005B61A8">
      <w:pPr>
        <w:widowControl/>
        <w:numPr>
          <w:ilvl w:val="0"/>
          <w:numId w:val="1"/>
        </w:numPr>
        <w:spacing w:line="360" w:lineRule="exact"/>
        <w:ind w:left="0" w:firstLineChars="200" w:firstLine="420"/>
        <w:jc w:val="left"/>
        <w:rPr>
          <w:rFonts w:ascii="微软雅黑" w:eastAsia="微软雅黑" w:hAnsi="微软雅黑" w:cs="微软雅黑" w:hint="eastAsia"/>
          <w:sz w:val="20"/>
          <w:szCs w:val="20"/>
        </w:rPr>
      </w:pPr>
      <w:r>
        <w:rPr>
          <w:rFonts w:hint="eastAsia"/>
        </w:rPr>
        <w:t>安装简便，测试仅需要几分钟的时间</w:t>
      </w:r>
    </w:p>
    <w:p w:rsidR="00697428" w:rsidRDefault="00697428" w:rsidP="00697428">
      <w:pPr>
        <w:widowControl/>
        <w:spacing w:line="360" w:lineRule="exact"/>
        <w:ind w:left="420"/>
        <w:jc w:val="left"/>
        <w:rPr>
          <w:rFonts w:ascii="微软雅黑" w:eastAsia="微软雅黑" w:hAnsi="微软雅黑" w:cs="微软雅黑"/>
          <w:sz w:val="20"/>
          <w:szCs w:val="20"/>
        </w:rPr>
      </w:pPr>
    </w:p>
    <w:p w:rsidR="00467324" w:rsidRDefault="005B61A8">
      <w:pPr>
        <w:widowControl/>
        <w:spacing w:line="360" w:lineRule="exact"/>
        <w:jc w:val="left"/>
        <w:rPr>
          <w:rFonts w:ascii="微软雅黑" w:eastAsia="微软雅黑" w:hAnsi="微软雅黑" w:cs="微软雅黑"/>
          <w:sz w:val="20"/>
          <w:szCs w:val="20"/>
        </w:rPr>
      </w:pPr>
      <w:r>
        <w:rPr>
          <w:rFonts w:ascii="微软雅黑" w:eastAsia="微软雅黑" w:hAnsi="微软雅黑" w:cs="微软雅黑" w:hint="eastAsia"/>
          <w:color w:val="0070C0"/>
          <w:sz w:val="20"/>
          <w:szCs w:val="20"/>
        </w:rPr>
        <w:t>技术参数</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48"/>
        <w:gridCol w:w="6152"/>
      </w:tblGrid>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δ</w:t>
            </w:r>
            <w:r>
              <w:rPr>
                <w:rFonts w:ascii="微软雅黑" w:eastAsia="微软雅黑" w:hAnsi="微软雅黑" w:cs="微软雅黑" w:hint="eastAsia"/>
                <w:sz w:val="20"/>
                <w:szCs w:val="20"/>
              </w:rPr>
              <w:t>18O</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确保精度</w:t>
            </w:r>
            <w:r>
              <w:rPr>
                <w:rFonts w:ascii="微软雅黑" w:eastAsia="微软雅黑" w:hAnsi="微软雅黑" w:cs="微软雅黑" w:hint="eastAsia"/>
                <w:sz w:val="20"/>
                <w:szCs w:val="20"/>
              </w:rPr>
              <w:t>&lt;0.2</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24</w:t>
            </w:r>
            <w:r>
              <w:rPr>
                <w:rFonts w:ascii="微软雅黑" w:eastAsia="微软雅黑" w:hAnsi="微软雅黑" w:cs="微软雅黑" w:hint="eastAsia"/>
                <w:sz w:val="20"/>
                <w:szCs w:val="20"/>
              </w:rPr>
              <w:t>小时峰</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峰漂移</w:t>
            </w:r>
            <w:r>
              <w:rPr>
                <w:rFonts w:ascii="微软雅黑" w:eastAsia="微软雅黑" w:hAnsi="微软雅黑" w:cs="微软雅黑" w:hint="eastAsia"/>
                <w:sz w:val="20"/>
                <w:szCs w:val="20"/>
              </w:rPr>
              <w:t xml:space="preserve">&lt; </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0.6 </w:t>
            </w:r>
            <w:r>
              <w:rPr>
                <w:rFonts w:ascii="微软雅黑" w:eastAsia="微软雅黑" w:hAnsi="微软雅黑" w:cs="微软雅黑" w:hint="eastAsia"/>
                <w:sz w:val="20"/>
                <w:szCs w:val="20"/>
              </w:rPr>
              <w:t>‰</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δ</w:t>
            </w:r>
            <w:r>
              <w:rPr>
                <w:rFonts w:ascii="微软雅黑" w:eastAsia="微软雅黑" w:hAnsi="微软雅黑" w:cs="微软雅黑" w:hint="eastAsia"/>
                <w:sz w:val="20"/>
                <w:szCs w:val="20"/>
              </w:rPr>
              <w:t>D</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确保精度</w:t>
            </w:r>
            <w:r>
              <w:rPr>
                <w:rFonts w:ascii="微软雅黑" w:eastAsia="微软雅黑" w:hAnsi="微软雅黑" w:cs="微软雅黑" w:hint="eastAsia"/>
                <w:sz w:val="20"/>
                <w:szCs w:val="20"/>
              </w:rPr>
              <w:t>&lt;1.0</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24</w:t>
            </w:r>
            <w:r>
              <w:rPr>
                <w:rFonts w:ascii="微软雅黑" w:eastAsia="微软雅黑" w:hAnsi="微软雅黑" w:cs="微软雅黑" w:hint="eastAsia"/>
                <w:sz w:val="20"/>
                <w:szCs w:val="20"/>
              </w:rPr>
              <w:t>小时峰</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峰漂移</w:t>
            </w:r>
            <w:r>
              <w:rPr>
                <w:rFonts w:ascii="微软雅黑" w:eastAsia="微软雅黑" w:hAnsi="微软雅黑" w:cs="微软雅黑" w:hint="eastAsia"/>
                <w:sz w:val="20"/>
                <w:szCs w:val="20"/>
              </w:rPr>
              <w:t xml:space="preserve">&lt; </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1.8</w:t>
            </w:r>
            <w:r>
              <w:rPr>
                <w:rFonts w:ascii="微软雅黑" w:eastAsia="微软雅黑" w:hAnsi="微软雅黑" w:cs="微软雅黑" w:hint="eastAsia"/>
                <w:sz w:val="20"/>
                <w:szCs w:val="20"/>
              </w:rPr>
              <w:t>‰</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耐盐</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标准</w:t>
            </w:r>
            <w:r>
              <w:rPr>
                <w:rFonts w:ascii="微软雅黑" w:eastAsia="微软雅黑" w:hAnsi="微软雅黑" w:cs="微软雅黑" w:hint="eastAsia"/>
                <w:sz w:val="20"/>
                <w:szCs w:val="20"/>
              </w:rPr>
              <w:t>4%</w:t>
            </w:r>
            <w:r>
              <w:rPr>
                <w:rFonts w:ascii="微软雅黑" w:eastAsia="微软雅黑" w:hAnsi="微软雅黑" w:cs="微软雅黑" w:hint="eastAsia"/>
                <w:sz w:val="20"/>
                <w:szCs w:val="20"/>
              </w:rPr>
              <w:t>，可达</w:t>
            </w:r>
            <w:r>
              <w:rPr>
                <w:rFonts w:ascii="微软雅黑" w:eastAsia="微软雅黑" w:hAnsi="微软雅黑" w:cs="微软雅黑" w:hint="eastAsia"/>
                <w:sz w:val="20"/>
                <w:szCs w:val="20"/>
              </w:rPr>
              <w:t>37%</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测量技术</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波长扫描光腔衰荡光谱技术（</w:t>
            </w:r>
            <w:r>
              <w:rPr>
                <w:rFonts w:ascii="微软雅黑" w:eastAsia="微软雅黑" w:hAnsi="微软雅黑" w:cs="微软雅黑" w:hint="eastAsia"/>
                <w:sz w:val="20"/>
                <w:szCs w:val="20"/>
              </w:rPr>
              <w:t>WS-CRDS</w:t>
            </w:r>
            <w:r>
              <w:rPr>
                <w:rFonts w:ascii="微软雅黑" w:eastAsia="微软雅黑" w:hAnsi="微软雅黑" w:cs="微软雅黑" w:hint="eastAsia"/>
                <w:sz w:val="20"/>
                <w:szCs w:val="20"/>
              </w:rPr>
              <w:t>）</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测量有效路径</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&gt;20</w:t>
            </w:r>
            <w:r>
              <w:rPr>
                <w:rFonts w:ascii="微软雅黑" w:eastAsia="微软雅黑" w:hAnsi="微软雅黑" w:cs="微软雅黑" w:hint="eastAsia"/>
                <w:sz w:val="20"/>
                <w:szCs w:val="20"/>
              </w:rPr>
              <w:t>千米</w:t>
            </w:r>
          </w:p>
        </w:tc>
      </w:tr>
      <w:tr w:rsidR="00467324">
        <w:trPr>
          <w:trHeight w:val="108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温度控制精度</w:t>
            </w:r>
          </w:p>
        </w:tc>
        <w:tc>
          <w:tcPr>
            <w:tcW w:w="6152" w:type="dxa"/>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0.002</w:t>
            </w:r>
            <w:r>
              <w:rPr>
                <w:rFonts w:ascii="微软雅黑" w:eastAsia="微软雅黑" w:hAnsi="微软雅黑" w:cs="微软雅黑" w:hint="eastAsia"/>
                <w:sz w:val="20"/>
                <w:szCs w:val="20"/>
              </w:rPr>
              <w:t>℃（室温的</w:t>
            </w:r>
            <w:r>
              <w:rPr>
                <w:rFonts w:ascii="微软雅黑" w:eastAsia="微软雅黑" w:hAnsi="微软雅黑" w:cs="微软雅黑" w:hint="eastAsia"/>
                <w:sz w:val="20"/>
                <w:szCs w:val="20"/>
              </w:rPr>
              <w:t>0.006%</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控件含整机、测量室和样品</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压力控制精度</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0.024</w:t>
            </w:r>
            <w:r>
              <w:rPr>
                <w:rFonts w:ascii="微软雅黑" w:eastAsia="微软雅黑" w:hAnsi="微软雅黑" w:cs="微软雅黑" w:hint="eastAsia"/>
                <w:sz w:val="20"/>
                <w:szCs w:val="20"/>
              </w:rPr>
              <w:t>托（大气压的</w:t>
            </w:r>
            <w:r>
              <w:rPr>
                <w:rFonts w:ascii="微软雅黑" w:eastAsia="微软雅黑" w:hAnsi="微软雅黑" w:cs="微软雅黑" w:hint="eastAsia"/>
                <w:sz w:val="20"/>
                <w:szCs w:val="20"/>
              </w:rPr>
              <w:t>0.003%</w:t>
            </w:r>
            <w:r>
              <w:rPr>
                <w:rFonts w:ascii="微软雅黑" w:eastAsia="微软雅黑" w:hAnsi="微软雅黑" w:cs="微软雅黑" w:hint="eastAsia"/>
                <w:sz w:val="20"/>
                <w:szCs w:val="20"/>
              </w:rPr>
              <w:t>）</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波长控制精度</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2MHz (</w:t>
            </w:r>
            <w:r>
              <w:rPr>
                <w:rFonts w:ascii="微软雅黑" w:eastAsia="微软雅黑" w:hAnsi="微软雅黑" w:cs="微软雅黑" w:hint="eastAsia"/>
                <w:sz w:val="20"/>
                <w:szCs w:val="20"/>
              </w:rPr>
              <w:t>中心波长的</w:t>
            </w:r>
            <w:r>
              <w:rPr>
                <w:rFonts w:ascii="微软雅黑" w:eastAsia="微软雅黑" w:hAnsi="微软雅黑" w:cs="微软雅黑" w:hint="eastAsia"/>
                <w:sz w:val="20"/>
                <w:szCs w:val="20"/>
              </w:rPr>
              <w:t>0.000001%)</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测量范围</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0-99%</w:t>
            </w:r>
            <w:r>
              <w:rPr>
                <w:rFonts w:ascii="微软雅黑" w:eastAsia="微软雅黑" w:hAnsi="微软雅黑" w:cs="微软雅黑" w:hint="eastAsia"/>
                <w:sz w:val="20"/>
                <w:szCs w:val="20"/>
              </w:rPr>
              <w:t>，无冷凝</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测量间隔</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&lt;6</w:t>
            </w:r>
            <w:r>
              <w:rPr>
                <w:rFonts w:ascii="微软雅黑" w:eastAsia="微软雅黑" w:hAnsi="微软雅黑" w:cs="微软雅黑" w:hint="eastAsia"/>
                <w:sz w:val="20"/>
                <w:szCs w:val="20"/>
              </w:rPr>
              <w:t>秒</w:t>
            </w:r>
          </w:p>
        </w:tc>
      </w:tr>
      <w:tr w:rsidR="00467324">
        <w:trPr>
          <w:trHeight w:val="925"/>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温度</w:t>
            </w:r>
          </w:p>
        </w:tc>
        <w:tc>
          <w:tcPr>
            <w:tcW w:w="6152" w:type="dxa"/>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-10 ~ 45</w:t>
            </w:r>
            <w:r>
              <w:rPr>
                <w:rFonts w:ascii="微软雅黑" w:eastAsia="微软雅黑" w:hAnsi="微软雅黑" w:cs="微软雅黑" w:hint="eastAsia"/>
                <w:sz w:val="20"/>
                <w:szCs w:val="20"/>
              </w:rPr>
              <w:t>℃（水汽）；</w:t>
            </w:r>
            <w:r>
              <w:rPr>
                <w:rFonts w:ascii="微软雅黑" w:eastAsia="微软雅黑" w:hAnsi="微软雅黑" w:cs="微软雅黑" w:hint="eastAsia"/>
                <w:sz w:val="20"/>
                <w:szCs w:val="20"/>
              </w:rPr>
              <w:t>10 ~ 35</w:t>
            </w:r>
            <w:r>
              <w:rPr>
                <w:rFonts w:ascii="微软雅黑" w:eastAsia="微软雅黑" w:hAnsi="微软雅黑" w:cs="微软雅黑" w:hint="eastAsia"/>
                <w:sz w:val="20"/>
                <w:szCs w:val="20"/>
              </w:rPr>
              <w:t>℃（液体取样和系统操作温度）</w:t>
            </w:r>
            <w:r>
              <w:rPr>
                <w:rFonts w:ascii="微软雅黑" w:eastAsia="微软雅黑" w:hAnsi="微软雅黑" w:cs="微软雅黑" w:hint="eastAsia"/>
                <w:sz w:val="20"/>
                <w:szCs w:val="20"/>
              </w:rPr>
              <w:br/>
              <w:t xml:space="preserve">-10 ~ 50 </w:t>
            </w:r>
            <w:r>
              <w:rPr>
                <w:rFonts w:ascii="微软雅黑" w:eastAsia="微软雅黑" w:hAnsi="微软雅黑" w:cs="微软雅黑" w:hint="eastAsia"/>
                <w:sz w:val="20"/>
                <w:szCs w:val="20"/>
              </w:rPr>
              <w:t>℃（存储温度）</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取样流速</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40ml/min</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760</w:t>
            </w:r>
            <w:r>
              <w:rPr>
                <w:rFonts w:ascii="微软雅黑" w:eastAsia="微软雅黑" w:hAnsi="微软雅黑" w:cs="微软雅黑" w:hint="eastAsia"/>
                <w:sz w:val="20"/>
                <w:szCs w:val="20"/>
              </w:rPr>
              <w:t>托</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取样压力</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300 ~ 1000</w:t>
            </w:r>
            <w:r>
              <w:rPr>
                <w:rFonts w:ascii="微软雅黑" w:eastAsia="微软雅黑" w:hAnsi="微软雅黑" w:cs="微软雅黑" w:hint="eastAsia"/>
                <w:sz w:val="20"/>
                <w:szCs w:val="20"/>
              </w:rPr>
              <w:t>托</w:t>
            </w:r>
            <w:r>
              <w:rPr>
                <w:rFonts w:ascii="微软雅黑" w:eastAsia="微软雅黑" w:hAnsi="微软雅黑" w:cs="微软雅黑" w:hint="eastAsia"/>
                <w:sz w:val="20"/>
                <w:szCs w:val="20"/>
              </w:rPr>
              <w:t xml:space="preserve">(40 ~ 133 </w:t>
            </w:r>
            <w:proofErr w:type="spellStart"/>
            <w:r>
              <w:rPr>
                <w:rFonts w:ascii="微软雅黑" w:eastAsia="微软雅黑" w:hAnsi="微软雅黑" w:cs="微软雅黑" w:hint="eastAsia"/>
                <w:sz w:val="20"/>
                <w:szCs w:val="20"/>
              </w:rPr>
              <w:t>kPa</w:t>
            </w:r>
            <w:proofErr w:type="spellEnd"/>
            <w:r>
              <w:rPr>
                <w:rFonts w:ascii="微软雅黑" w:eastAsia="微软雅黑" w:hAnsi="微软雅黑" w:cs="微软雅黑" w:hint="eastAsia"/>
                <w:sz w:val="20"/>
                <w:szCs w:val="20"/>
              </w:rPr>
              <w:t>)</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取样湿度</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&lt;99% R.H</w:t>
            </w:r>
            <w:r>
              <w:rPr>
                <w:rFonts w:ascii="微软雅黑" w:eastAsia="微软雅黑" w:hAnsi="微软雅黑" w:cs="微软雅黑" w:hint="eastAsia"/>
                <w:sz w:val="20"/>
                <w:szCs w:val="20"/>
              </w:rPr>
              <w:t>，无冷凝</w:t>
            </w:r>
            <w:r>
              <w:rPr>
                <w:rFonts w:ascii="微软雅黑" w:eastAsia="微软雅黑" w:hAnsi="微软雅黑" w:cs="微软雅黑" w:hint="eastAsia"/>
                <w:sz w:val="20"/>
                <w:szCs w:val="20"/>
              </w:rPr>
              <w:t>@40</w:t>
            </w:r>
            <w:r>
              <w:rPr>
                <w:rFonts w:ascii="微软雅黑" w:eastAsia="微软雅黑" w:hAnsi="微软雅黑" w:cs="微软雅黑" w:hint="eastAsia"/>
                <w:sz w:val="20"/>
                <w:szCs w:val="20"/>
              </w:rPr>
              <w:t>℃，无需干燥</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输出</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RS-232</w:t>
            </w:r>
            <w:r>
              <w:rPr>
                <w:rFonts w:ascii="微软雅黑" w:eastAsia="微软雅黑" w:hAnsi="微软雅黑" w:cs="微软雅黑" w:hint="eastAsia"/>
                <w:sz w:val="20"/>
                <w:szCs w:val="20"/>
              </w:rPr>
              <w:t>，网卡，</w:t>
            </w:r>
            <w:r>
              <w:rPr>
                <w:rFonts w:ascii="微软雅黑" w:eastAsia="微软雅黑" w:hAnsi="微软雅黑" w:cs="微软雅黑" w:hint="eastAsia"/>
                <w:sz w:val="20"/>
                <w:szCs w:val="20"/>
              </w:rPr>
              <w:t xml:space="preserve">USB, </w:t>
            </w:r>
            <w:r>
              <w:rPr>
                <w:rFonts w:ascii="微软雅黑" w:eastAsia="微软雅黑" w:hAnsi="微软雅黑" w:cs="微软雅黑" w:hint="eastAsia"/>
                <w:sz w:val="20"/>
                <w:szCs w:val="20"/>
              </w:rPr>
              <w:t>模拟输出（可选）</w:t>
            </w:r>
            <w:r>
              <w:rPr>
                <w:rFonts w:ascii="微软雅黑" w:eastAsia="微软雅黑" w:hAnsi="微软雅黑" w:cs="微软雅黑" w:hint="eastAsia"/>
                <w:sz w:val="20"/>
                <w:szCs w:val="20"/>
              </w:rPr>
              <w:t>4-20mA/</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10V</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出</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入口接头</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1/4</w:t>
            </w:r>
            <w:r>
              <w:rPr>
                <w:rFonts w:ascii="微软雅黑" w:eastAsia="微软雅黑" w:hAnsi="微软雅黑" w:cs="微软雅黑" w:hint="eastAsia"/>
                <w:sz w:val="20"/>
                <w:szCs w:val="20"/>
              </w:rPr>
              <w:t>英寸</w:t>
            </w:r>
            <w:r>
              <w:rPr>
                <w:rFonts w:ascii="微软雅黑" w:eastAsia="微软雅黑" w:hAnsi="微软雅黑" w:cs="微软雅黑" w:hint="eastAsia"/>
                <w:sz w:val="20"/>
                <w:szCs w:val="20"/>
              </w:rPr>
              <w:t>Swagelok</w:t>
            </w:r>
          </w:p>
        </w:tc>
      </w:tr>
      <w:tr w:rsidR="00467324">
        <w:trPr>
          <w:trHeight w:val="270"/>
        </w:trPr>
        <w:tc>
          <w:tcPr>
            <w:tcW w:w="2148" w:type="dxa"/>
            <w:noWrap/>
            <w:tcMar>
              <w:top w:w="15" w:type="dxa"/>
              <w:left w:w="15" w:type="dxa"/>
              <w:right w:w="15" w:type="dxa"/>
            </w:tcMar>
            <w:vAlign w:val="center"/>
          </w:tcPr>
          <w:p w:rsidR="00467324" w:rsidRDefault="005B61A8" w:rsidP="00697428">
            <w:pPr>
              <w:widowControl/>
              <w:spacing w:line="360" w:lineRule="exact"/>
              <w:ind w:leftChars="200" w:left="420"/>
              <w:jc w:val="left"/>
              <w:rPr>
                <w:rFonts w:ascii="微软雅黑" w:eastAsia="微软雅黑" w:hAnsi="微软雅黑" w:cs="微软雅黑"/>
                <w:sz w:val="20"/>
                <w:szCs w:val="20"/>
              </w:rPr>
            </w:pPr>
            <w:r>
              <w:rPr>
                <w:rFonts w:ascii="微软雅黑" w:eastAsia="微软雅黑" w:hAnsi="微软雅黑" w:cs="微软雅黑" w:hint="eastAsia"/>
                <w:sz w:val="20"/>
                <w:szCs w:val="20"/>
              </w:rPr>
              <w:t>耗电</w:t>
            </w:r>
          </w:p>
        </w:tc>
        <w:tc>
          <w:tcPr>
            <w:tcW w:w="6152" w:type="dxa"/>
            <w:noWrap/>
            <w:tcMar>
              <w:top w:w="15" w:type="dxa"/>
              <w:left w:w="15" w:type="dxa"/>
              <w:right w:w="15" w:type="dxa"/>
            </w:tcMar>
            <w:vAlign w:val="center"/>
          </w:tcPr>
          <w:p w:rsidR="00467324" w:rsidRDefault="005B61A8">
            <w:pPr>
              <w:widowControl/>
              <w:spacing w:line="360" w:lineRule="exact"/>
              <w:ind w:left="400"/>
              <w:jc w:val="left"/>
              <w:rPr>
                <w:rFonts w:ascii="微软雅黑" w:eastAsia="微软雅黑" w:hAnsi="微软雅黑" w:cs="微软雅黑"/>
                <w:sz w:val="20"/>
                <w:szCs w:val="20"/>
              </w:rPr>
            </w:pPr>
            <w:r>
              <w:rPr>
                <w:rFonts w:ascii="微软雅黑" w:eastAsia="微软雅黑" w:hAnsi="微软雅黑" w:cs="微软雅黑" w:hint="eastAsia"/>
                <w:sz w:val="20"/>
                <w:szCs w:val="20"/>
              </w:rPr>
              <w:t>90-250VAC</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&lt;600Watts</w:t>
            </w:r>
          </w:p>
        </w:tc>
      </w:tr>
    </w:tbl>
    <w:p w:rsidR="00467324" w:rsidRDefault="00467324">
      <w:pPr>
        <w:widowControl/>
        <w:spacing w:line="360" w:lineRule="exact"/>
        <w:ind w:left="400"/>
        <w:jc w:val="left"/>
        <w:rPr>
          <w:rFonts w:ascii="微软雅黑" w:eastAsia="微软雅黑" w:hAnsi="微软雅黑" w:cs="微软雅黑"/>
          <w:sz w:val="20"/>
          <w:szCs w:val="20"/>
        </w:rPr>
      </w:pPr>
      <w:bookmarkStart w:id="0" w:name="_GoBack"/>
      <w:bookmarkEnd w:id="0"/>
    </w:p>
    <w:sectPr w:rsidR="00467324" w:rsidSect="00467324">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A8" w:rsidRDefault="005B61A8" w:rsidP="00467324">
      <w:r>
        <w:separator/>
      </w:r>
    </w:p>
  </w:endnote>
  <w:endnote w:type="continuationSeparator" w:id="0">
    <w:p w:rsidR="005B61A8" w:rsidRDefault="005B61A8" w:rsidP="004673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24" w:rsidRDefault="005B61A8">
    <w:pPr>
      <w:pStyle w:val="a4"/>
    </w:pPr>
    <w:r>
      <w:rPr>
        <w:noProof/>
      </w:rP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A8" w:rsidRDefault="005B61A8" w:rsidP="00467324">
      <w:r>
        <w:separator/>
      </w:r>
    </w:p>
  </w:footnote>
  <w:footnote w:type="continuationSeparator" w:id="0">
    <w:p w:rsidR="005B61A8" w:rsidRDefault="005B61A8" w:rsidP="00467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24" w:rsidRDefault="005B61A8">
    <w:r>
      <w:rPr>
        <w:noProof/>
      </w:rP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ADCE"/>
    <w:multiLevelType w:val="singleLevel"/>
    <w:tmpl w:val="2B39ADCE"/>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0108"/>
    <w:rsid w:val="00172975"/>
    <w:rsid w:val="00290108"/>
    <w:rsid w:val="002B136F"/>
    <w:rsid w:val="002B4A34"/>
    <w:rsid w:val="002D2B00"/>
    <w:rsid w:val="0036539B"/>
    <w:rsid w:val="0042643E"/>
    <w:rsid w:val="00467324"/>
    <w:rsid w:val="004F6FB2"/>
    <w:rsid w:val="00531EC9"/>
    <w:rsid w:val="005B61A8"/>
    <w:rsid w:val="00697428"/>
    <w:rsid w:val="00730259"/>
    <w:rsid w:val="008A32CB"/>
    <w:rsid w:val="008C032A"/>
    <w:rsid w:val="00995006"/>
    <w:rsid w:val="00C63114"/>
    <w:rsid w:val="00D54B11"/>
    <w:rsid w:val="00DB0481"/>
    <w:rsid w:val="00E8038B"/>
    <w:rsid w:val="00ED4CD6"/>
    <w:rsid w:val="0267757A"/>
    <w:rsid w:val="036830F1"/>
    <w:rsid w:val="05C46530"/>
    <w:rsid w:val="05C96CA8"/>
    <w:rsid w:val="091D3400"/>
    <w:rsid w:val="0AD51955"/>
    <w:rsid w:val="0BFD609C"/>
    <w:rsid w:val="0CF55FAE"/>
    <w:rsid w:val="0D277BCB"/>
    <w:rsid w:val="0D604EB6"/>
    <w:rsid w:val="0F606193"/>
    <w:rsid w:val="10232A98"/>
    <w:rsid w:val="187E3DCC"/>
    <w:rsid w:val="1B4B150A"/>
    <w:rsid w:val="202D73B8"/>
    <w:rsid w:val="24C33941"/>
    <w:rsid w:val="26644040"/>
    <w:rsid w:val="2B9410EF"/>
    <w:rsid w:val="2D136D2B"/>
    <w:rsid w:val="32841E88"/>
    <w:rsid w:val="363B0D58"/>
    <w:rsid w:val="392E2379"/>
    <w:rsid w:val="39D44469"/>
    <w:rsid w:val="3F0F7301"/>
    <w:rsid w:val="3F58383E"/>
    <w:rsid w:val="41CB1A69"/>
    <w:rsid w:val="45720C84"/>
    <w:rsid w:val="45781606"/>
    <w:rsid w:val="50EB2940"/>
    <w:rsid w:val="5B151F57"/>
    <w:rsid w:val="5BD94C1B"/>
    <w:rsid w:val="5E730534"/>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D820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24"/>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467324"/>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67324"/>
    <w:rPr>
      <w:sz w:val="18"/>
      <w:szCs w:val="18"/>
    </w:rPr>
  </w:style>
  <w:style w:type="paragraph" w:styleId="a4">
    <w:name w:val="footer"/>
    <w:basedOn w:val="a"/>
    <w:link w:val="Char0"/>
    <w:uiPriority w:val="99"/>
    <w:unhideWhenUsed/>
    <w:qFormat/>
    <w:rsid w:val="0046732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6732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467324"/>
    <w:pPr>
      <w:jc w:val="left"/>
    </w:pPr>
    <w:rPr>
      <w:rFonts w:cs="Times New Roman"/>
      <w:kern w:val="0"/>
      <w:sz w:val="24"/>
    </w:rPr>
  </w:style>
  <w:style w:type="character" w:styleId="a7">
    <w:name w:val="Strong"/>
    <w:basedOn w:val="a0"/>
    <w:uiPriority w:val="22"/>
    <w:qFormat/>
    <w:rsid w:val="00467324"/>
    <w:rPr>
      <w:b/>
    </w:rPr>
  </w:style>
  <w:style w:type="character" w:styleId="a8">
    <w:name w:val="FollowedHyperlink"/>
    <w:basedOn w:val="a0"/>
    <w:uiPriority w:val="99"/>
    <w:semiHidden/>
    <w:unhideWhenUsed/>
    <w:qFormat/>
    <w:rsid w:val="00467324"/>
    <w:rPr>
      <w:color w:val="1064A0"/>
      <w:u w:val="none"/>
    </w:rPr>
  </w:style>
  <w:style w:type="character" w:styleId="a9">
    <w:name w:val="Emphasis"/>
    <w:basedOn w:val="a0"/>
    <w:uiPriority w:val="20"/>
    <w:qFormat/>
    <w:rsid w:val="00467324"/>
  </w:style>
  <w:style w:type="character" w:styleId="aa">
    <w:name w:val="Hyperlink"/>
    <w:basedOn w:val="a0"/>
    <w:uiPriority w:val="99"/>
    <w:semiHidden/>
    <w:unhideWhenUsed/>
    <w:qFormat/>
    <w:rsid w:val="00467324"/>
    <w:rPr>
      <w:color w:val="1064A0"/>
      <w:u w:val="none"/>
    </w:rPr>
  </w:style>
  <w:style w:type="character" w:customStyle="1" w:styleId="Char1">
    <w:name w:val="页眉 Char"/>
    <w:basedOn w:val="a0"/>
    <w:link w:val="a5"/>
    <w:uiPriority w:val="99"/>
    <w:qFormat/>
    <w:rsid w:val="00467324"/>
    <w:rPr>
      <w:sz w:val="18"/>
      <w:szCs w:val="18"/>
    </w:rPr>
  </w:style>
  <w:style w:type="character" w:customStyle="1" w:styleId="Char0">
    <w:name w:val="页脚 Char"/>
    <w:basedOn w:val="a0"/>
    <w:link w:val="a4"/>
    <w:uiPriority w:val="99"/>
    <w:qFormat/>
    <w:rsid w:val="00467324"/>
    <w:rPr>
      <w:sz w:val="18"/>
      <w:szCs w:val="18"/>
    </w:rPr>
  </w:style>
  <w:style w:type="character" w:customStyle="1" w:styleId="Char">
    <w:name w:val="批注框文本 Char"/>
    <w:basedOn w:val="a0"/>
    <w:link w:val="a3"/>
    <w:uiPriority w:val="99"/>
    <w:semiHidden/>
    <w:qFormat/>
    <w:rsid w:val="0046732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北京华益瑞科技有限公司</cp:lastModifiedBy>
  <cp:revision>9</cp:revision>
  <dcterms:created xsi:type="dcterms:W3CDTF">2019-01-15T03:14:00Z</dcterms:created>
  <dcterms:modified xsi:type="dcterms:W3CDTF">2020-02-20T06:36:00Z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