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方正黑体简体" w:cs="Times New Roman"/>
          <w:bCs/>
          <w:sz w:val="32"/>
          <w:szCs w:val="32"/>
        </w:rPr>
      </w:pPr>
      <w:r>
        <w:rPr>
          <w:rFonts w:ascii="Times New Roman" w:hAnsi="Times New Roman" w:eastAsia="方正黑体简体" w:cs="Times New Roman"/>
          <w:bCs/>
          <w:sz w:val="32"/>
          <w:szCs w:val="32"/>
        </w:rPr>
        <w:t>附件1</w:t>
      </w:r>
    </w:p>
    <w:p>
      <w:pPr>
        <w:spacing w:line="594"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2020年中国标准创新贡献奖</w:t>
      </w:r>
      <w:bookmarkStart w:id="0" w:name="_GoBack"/>
      <w:bookmarkEnd w:id="0"/>
    </w:p>
    <w:p>
      <w:pPr>
        <w:spacing w:line="594"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标准项目奖形式审查合格名单</w:t>
      </w:r>
    </w:p>
    <w:p>
      <w:pPr>
        <w:spacing w:line="594" w:lineRule="exact"/>
        <w:jc w:val="center"/>
        <w:rPr>
          <w:rFonts w:ascii="Times New Roman" w:hAnsi="Times New Roman" w:eastAsia="方正小标宋简体" w:cs="Times New Roman"/>
          <w:bCs/>
          <w:sz w:val="44"/>
          <w:szCs w:val="44"/>
        </w:rPr>
      </w:pPr>
    </w:p>
    <w:tbl>
      <w:tblPr>
        <w:tblStyle w:val="8"/>
        <w:tblW w:w="11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5547"/>
        <w:gridCol w:w="320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787" w:type="dxa"/>
            <w:vAlign w:val="center"/>
          </w:tcPr>
          <w:p>
            <w:pPr>
              <w:adjustRightInd w:val="0"/>
              <w:snapToGrid w:val="0"/>
              <w:spacing w:line="3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序号</w:t>
            </w:r>
          </w:p>
        </w:tc>
        <w:tc>
          <w:tcPr>
            <w:tcW w:w="5547" w:type="dxa"/>
            <w:vAlign w:val="center"/>
          </w:tcPr>
          <w:p>
            <w:pPr>
              <w:adjustRightInd w:val="0"/>
              <w:snapToGrid w:val="0"/>
              <w:spacing w:line="3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标准项目名称</w:t>
            </w:r>
          </w:p>
        </w:tc>
        <w:tc>
          <w:tcPr>
            <w:tcW w:w="3200" w:type="dxa"/>
            <w:vAlign w:val="center"/>
          </w:tcPr>
          <w:p>
            <w:pPr>
              <w:adjustRightInd w:val="0"/>
              <w:snapToGrid w:val="0"/>
              <w:spacing w:line="3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申报单位</w:t>
            </w:r>
          </w:p>
        </w:tc>
        <w:tc>
          <w:tcPr>
            <w:tcW w:w="2410" w:type="dxa"/>
            <w:vAlign w:val="center"/>
          </w:tcPr>
          <w:p>
            <w:pPr>
              <w:adjustRightInd w:val="0"/>
              <w:snapToGrid w:val="0"/>
              <w:spacing w:line="3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31506—2015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信息安全技术 政府门户网站系统安全技术指南</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北京信息安全测评中心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中央网信办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30240.1—2013</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公共服务领域英文译写规范 第1部分：通则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教育部语言文字信息管理司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T/JYBZ 005—2018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中小学教室照明技术规范</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厦门立达信照明有限公司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29858—2013</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分子光谱多元校正定量分析通则</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北京化工大学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科技部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YD/T 3199—2016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支持通信应用的北斗授时设备技术要求</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T/CCSA 195—2018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移动通信终端快速充电技术要求和测试方法</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28827.1—2012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信息技术服务 运行维护 第1部分：通用要求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中国电子技术标准化研究院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YD/T 2781—2014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电信和互联网服务 用户个人信息保护 定义及分类</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等4项标准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ind w:right="-283" w:rightChars="-135"/>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YD/T 3058—2016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宽带普遍服务质量管理系统总体要求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35319—2017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物联网 系统接口要求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等6项标准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中国电子技术标准化研究院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L.1302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数据中心和通信机房基础设施能效评估方法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34000—2016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中国造船质量标准</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中国船舶工业综合技术经济研究院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62820-1-1：2016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楼寓对讲系统 第1-1部分：系统要求-总则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公安部第三研究所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GA 1026—2017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机动车驾驶人考试内容和方法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等11项标准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公安部交通管理科学研究所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SF/T 0025—2017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全国司法鉴定管理信息系统技术规范</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司法部公共法律服务管理局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司法部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SF/T 0023—2017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全国公证综合管理信息系统技术规范</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中国公证协会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司法部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33860—2017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人力资源服务机构能力指数</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人力资源和社会保障部全国人才流动中心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人力资源社会保障部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28588—2012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全球导航卫星系统连续运行基准站网技术规范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国家基础地理信息中心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34910.3—2017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海洋可再生能源资源调查与评估指南 第3部分: 波浪能</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国家海洋技术中心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33444—2016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固体矿产勘查工作规范</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自然资源部矿产资源储量评审中心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31571—2015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石油化学工业污染物排放标准</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中国石油化工股份有限公司抚顺石油化工研究院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生态环境部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34330—2017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固体废物鉴别标准 通则</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中国环境科学研究院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生态环境部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T/CAEPI 2—2016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环境保护设施运营单位运营服务能力要求</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中国环境保护产业协会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生态环境部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51232—2016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装配式钢结构建筑技术标准</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中国建筑标准设计研究院有限公司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住房城乡建设部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T/CECS</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416—2015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城镇径流污染控制调蓄池技术规程</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上海市政工程设计研究总院（集团）有限公司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住房城乡建设部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50189—2015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公共建筑节能设计标准</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中国建筑科学研究院有限公司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住房城乡建设部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JT/T 1132.1—2017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汽车维修电子健康档案系统：总体技术要求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交通运输部公路科学研究院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交通运输部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SL 258—2017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水库大坝安全评价导则</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水利部交通运输部国家能源局南京水利科学研究院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T/CHES 18—2018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农村饮水安全评价准则</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中国水利水电科学研究院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33469—2016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耕地质量等级</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农业农村部耕地质量监测保护中心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NY/T 2594—2016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植物品种鉴定 DNA分子标记法：总则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农业农村部科技发展中心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15670.1—2017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农药登记毒理学试验方法 第1部分：总则》等29项标准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农业农村部农药检定所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33460—2016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报废汽车拆解指导手册编制规范》等2项标准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中国汽车技术研究中心有限公司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商务部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33286—2016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中国机读书目格式》</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国家图书馆</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WH/T 42—2011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演出场所安全技术要求 第2部分：临时搭建演出场所、看台安全技术要求》</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中国艺术科技研究所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WS/T 479—2015《0~6岁儿童健康管理技术规范》</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首都儿科研究所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15976—2015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血吸虫病控制和消除》</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中国疾病预防控制中心寄生虫病预防控制所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27771—2011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病媒生物密度控制水平 蚊虫》等4项标准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北京市疾病预防控制中心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7959—2012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粪便无害化卫生要求》</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中国疾病预防控制中心环境与健康相关产品安全所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7956.1—2004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消防车 第1部分：通用技术条件》等6项标准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应急管理部上海消防研究所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2626—2006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呼吸防护用品 自吸过滤式防颗粒物呼吸器》等3项标准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军事科学院防化研究院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T/NIFA 1—2017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互联网金融</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信息披露 个体网络借贷》等3项标准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中国互联网金融协会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32320—2015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银行营业网点服务基本要求》等2项标准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中国金融电子化公司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33959—2017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钢筋混凝土用不锈钢钢筋》等5项标准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中冶建筑研究总院有限公司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62976:2017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工业无损检测设备</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电子直线加速器</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无损检测用电子直线加速器》</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中国原子能科学研究院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20702:</w:t>
            </w:r>
            <w:r>
              <w:rPr>
                <w:rFonts w:hint="eastAsia" w:ascii="Times New Roman" w:hAnsi="Times New Roman" w:eastAsia="仿宋_GB2312" w:cs="Times New Roman"/>
                <w:bCs/>
                <w:sz w:val="24"/>
                <w:szCs w:val="24"/>
                <w:lang w:eastAsia="zh-CN"/>
              </w:rPr>
              <w:t>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肥料和土壤调理剂 肥料中微量无机阴离子含量测定 离子色谱法</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肥料中阴离子检测》等4项标准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上海海关工业品与原材料检测技术中心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海关总署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GY/T 303.1—2016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智能电视操作系统 第1部分：功能与架构</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国家广播电视总局广播电视科学研究院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广电总局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4754—2017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国民经济行业分类》</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国家统计局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28878—2016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空间科学实验转动部件规范》等10项标准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中国科学院上海技术物理研究所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T/CNS 3—2018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核电厂金属材料高温高压水中划伤再钝化试验方法》等4项标准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中国科学院金属研究所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18208.4—2011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地震现场工作第4部分：灾害直接损失评估》</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中国地震局工程力学研究所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33666—2017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厄尔尼诺/拉尼娜事件判别方法》</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国家气候中心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32319—2015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银行业产品说明书描述规范》</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中国农业银行股份有限公司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银保监会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JR/T 0051—2017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产险单证》</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中国太平洋保险（集团）股份有限公司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银保监会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50287—2016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水力发电工程地质勘察规范》</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水电水利规划设计总院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19740:2018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光学和光子学 光学材料和零部件 红外光学材料均匀性测试方法》等3项标准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中国兵器工业标准化研究所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国防科工局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YC/T 503—2014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烟草商业企业标准化建设指南》等2项标准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中国烟草总公司郑州烟草研究院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烟草局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YC/T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384.1—2018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烟草企业安全生产标准化规范</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第1部分：基础管理规范》等4项标准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上海烟草集团有限责任公司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烟草局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33041—2016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中国陆地木材腐朽与白蚁危害等级区域划分》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中国林业科学研究院木材工业研究所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TB/T 3487—2017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大功率交流传动机车》等2项标准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中国铁道科学研究院集团有限公司机车车辆研究所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铁路局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TB/T 3395.1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高速铁路扣件系统》等12项标准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中国铁道科学研究院集团有限公司铁道建筑研究所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铁路局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YZ/T 0133—2013</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智能快件箱》</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中国邮政集团有限公司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邮政局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33290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文物出境审核规范》等8项标准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广东省文物鉴定站（国家文物进出境审核广东管理处）</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20308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中医刮痧器具</w:t>
            </w:r>
            <w:r>
              <w:rPr>
                <w:rFonts w:hint="eastAsia" w:ascii="Times New Roman" w:hAnsi="Times New Roman" w:eastAsia="仿宋_GB2312" w:cs="Times New Roman"/>
                <w:bCs/>
                <w:sz w:val="24"/>
                <w:szCs w:val="24"/>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中国中医科学院针灸研究所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中医药局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YY/T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1465.1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医疗器械免疫原性评价方法</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第1部分：体外T淋巴细胞转化试验》等5项标准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山东省医疗器械产品质量检验中心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29490—2013</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企业知识产权管理规范》等3项标准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国家知识产权局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GM/T 0034—2014《基于SM2密码算法的证书认证系统密码及其相关安全技术规范》</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上海市数字证书认证中心有限公司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密码局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18336.1—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信息技术安全评估准则 第1部分：简介和一般模型</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中国信息安全测评中心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中国信息安全测评中心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T/CHTS 10003—2018《公路钢桥树脂沥青铺装技术指南》</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苏交科集团股份有限公司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27686—2011《电子废弃物中金属废料废件》</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格林美股份有限公司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SB/T 10279—2017《熏煮香肠》</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河南双汇投资发展股份有限公司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32978—2016《碳化硅质高温陶瓷过滤元件》</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山东工业陶瓷研究设计院有限公司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31545—2015《核电工程用硅酸盐水泥》</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中国建筑材料科学研究总院有限公司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JB/T 12621—2016《液化天然气阀门 技术条件》等7项标准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合肥通用机械研究院有限公司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32146.1—2015《检验检测实验室设计与建设技术要求 第1部分：通用要求》等3项标准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机械工业仪器仪表综合技术经济研究所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34668—2017《电动平衡车安全要求及测试方法》等2项标准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纳恩博（北京）科技有限公司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18759.3—2009《机械电气设备 开放式数控系统 第3部分：总线接口与通信协议</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国家机床质量监督检验中心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33923—2017《行星齿轮传动设计方法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天津华建天恒传动有限责任公司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15558.1—2015《燃气用埋地聚乙烯（PE）管道系统 第1部分：管材</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亚大集团公司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IEC 62849:2016《家用移动机器人性能评估方法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中国家用电器研究院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30795—2014《食品用洗涤剂试验方法 甲醇含量的测定</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中国日用化学研究院有限公司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中国轻工业联合会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32685—2016《工业用精对苯二甲酸（PTA）</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 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中国石油化工股份有限公司上海石油化工研究院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 18642:2016《肥料和土壤调理剂 肥料级尿素 通用要求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上海化工研究院有限公司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32362—2015《工业用六氟丙烯等7项标准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中国石油化工股份有限公司北京化工研究院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51010—2014《铝电解系列不停电停开槽设计规范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贵阳铝镁设计研究院有限公司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 16220:2017《镁及镁合金 镁合金铸锭和铸件</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有色金属技术经济研究院有限责任公司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60404-13-2018《磁性材料 第13部分：电工钢片（带）的密度、电阻率和叠装系数的测量方法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宝山钢铁股份有限公司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34193—2017《高炉工序能效评估导则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冶金工业信息标准研究院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T/CISA 001—2017《汽车座椅骨架用钢丝</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法尔胜泓</w:t>
            </w:r>
            <w:r>
              <w:rPr>
                <w:rFonts w:ascii="Times New Roman" w:hAnsi="Times New Roman" w:eastAsia="微软雅黑" w:cs="Times New Roman"/>
                <w:bCs/>
                <w:sz w:val="24"/>
                <w:szCs w:val="24"/>
              </w:rPr>
              <w:t>昇</w:t>
            </w:r>
            <w:r>
              <w:rPr>
                <w:rFonts w:ascii="Times New Roman" w:hAnsi="Times New Roman" w:eastAsia="仿宋_GB2312" w:cs="Times New Roman"/>
                <w:bCs/>
                <w:sz w:val="24"/>
                <w:szCs w:val="24"/>
              </w:rPr>
              <w:t>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3887-2017《钢-脱碳层深度的测定</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首钢集团有限公司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32610—2016《日常防护型口罩技术规范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中国产业用纺织品行业协会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中国纺织工业协会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T/CNTAC 5—2018《拼接服装</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必维申美商品检测（上海）有限公司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中国纺织工业协会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31994—2015《智能远动网关技术规范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中国南方电网有限责任公司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32353—2015《电力系统实时动态监测系统数据接口规范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国电南瑞科技股份有限公司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T/CEC 102.1—2016《电动汽车充换电服务信息交换 第1部分：总则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等4项标准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2099.7—2015《家用和类似用途插头插座 第2-7 部分：延长线插座的特殊要求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中国电器科学研究院股份有限公司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34870.1—2017《超级电容器 第1部分：总则</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西安高压电器研究院有限责任公司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T/ZZB 016—2015《小型断路器</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浙江正泰电器股份有限公司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DB13/T 2527—2017《煤矿水害微震监测数据采集规范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河北煤炭科学研究院有限公司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中国煤炭工业协会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23249—2009《地勘时期煤层瓦斯含量测定方法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煤科集团沈阳研究院有限公司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中国煤炭工业协会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 20780:2018《航天系统</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纤维光学器件</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设计与验证要求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北京航天时代光电科技有限公司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T/ZSA 3001.01—2016《企业移动智能终端应用开发、安装、运行管控机制指南</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中关村网络安全与信息化产业联盟</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SJ/T 11461.2—2016《有机发光二极管显示器件 第2部分：基本额定值和特性</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京东方科技集团股份有限公司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DB11/T 3001—2015《电子不停车收费系统路侧单元应用技术规范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北京速通科技有限公司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31768.2—2015《无损检测 闪光灯激励红外热像法 第2部分：检测规范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北京维泰凯信新技术有限公司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Q/KFTY 001—2016《恶臭气体在线监测系统TY-ECM系列</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天津同阳科技发展有限公司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天津市市场监管委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34590.1—2017《道路车辆 功能安全 第1部分：术语</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中国汽车技术研究中心有限公司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天津市市场监管委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TB/T 2231.1—2017《铁道车辆制动系统 第1部分：客车</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中车唐山机车车辆有限公司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10804-2018《球墨铸铁管管线用自锚接口系统设计规定和型式试验</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新兴铸管股份有限公司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DL/T 795—2016《电力系统数字调度交换机</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国网河北省电力有限公司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TB/T 3238—2017《机车车辆电机 动车组异步牵引电动机</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中车永济电机有限公司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山西省市场监管局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3280—2015《不锈钢冷轧钢板和钢带</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山西太钢不锈钢股份有限公司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山西省市场监管局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DB15/T 1251—2017《草原区城镇周边荒废土地植被恢复技术规程</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内蒙古蒙草生态环境（集团）股份有限公司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内蒙古自治区市场监管局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DB15/T 1162—2017《规模化奶牛养殖粪污治理工程技术规范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内蒙古伊利实业集团股份有限公司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内蒙古自治区市场监管局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DB21/T 2885—2017《居住建筑节能设计标准</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辽宁省建设科学研究院有限责任公司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32790—2016《铝及铝合金挤压焊缝焊合性能检验方法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辽宁忠旺集团有限公司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714—2015《桥梁用结构钢</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鞍山钢铁集团有限公司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1236—2017《工业通风机 用标准化风道性能试验</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沈阳鼓风机研究所（有限公司）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辽宁省市场监管局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CJ/T 416—2012《城市轨道交通车辆防火要求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中车长春轨道客车股份有限公司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T/CCAIA 1—2017《智能新风节能装置功能及技术要求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吉林省宝鑫建筑装饰工程有限责任公司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QC/T 307—2016《汽车用真空助力器性能要求及台架试验方法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吉林东光奥威汽车制动系统有限公司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30697—2014《星载大视场多光谱相机性能测试方法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中国科学院长春光学精密机械与物理研究所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T/CEEIA 285—201《核电站主氦风机用高压立式变频调速三相异步电动机技术条件</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佳木斯电机股份有限公司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黑龙江省市场监管局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LY/T 2601—2016《中国森林认证 生产经营性珍贵濒危野生动物饲养管理 审核导则</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黑龙江省野生动物研究所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黑龙江省市场监管局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 xml:space="preserve"> TB/T 2916—2017《铁道车辆用双向闸瓦间隙调整器</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中车齐齐哈尔车辆有限公司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黑龙江省市场监管局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11297.8—2015《热释电材料热释电系数的测试方法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中国科学院上海硅酸盐研究所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19354:2016《船舶与海洋技术 船用起重机 一般要求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中国船舶重工集团公司第七</w:t>
            </w:r>
            <w:r>
              <w:rPr>
                <w:rFonts w:ascii="Times New Roman" w:hAnsi="Times New Roman" w:eastAsia="微软雅黑" w:cs="Times New Roman"/>
                <w:bCs/>
                <w:sz w:val="24"/>
                <w:szCs w:val="24"/>
              </w:rPr>
              <w:t>〇</w:t>
            </w:r>
            <w:r>
              <w:rPr>
                <w:rFonts w:ascii="Times New Roman" w:hAnsi="Times New Roman" w:eastAsia="仿宋_GB2312" w:cs="Times New Roman"/>
                <w:bCs/>
                <w:sz w:val="24"/>
                <w:szCs w:val="24"/>
              </w:rPr>
              <w:t>四研究所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T/BIKE 002—2017《共享自行车服务规范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上海市自行车行业协会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29763—2013《化学品 稀有</w:t>
            </w:r>
            <w:r>
              <w:rPr>
                <w:rFonts w:ascii="Times New Roman" w:hAnsi="Times New Roman" w:eastAsia="微软雅黑" w:cs="Times New Roman"/>
                <w:bCs/>
                <w:sz w:val="24"/>
                <w:szCs w:val="24"/>
              </w:rPr>
              <w:t>鮈</w:t>
            </w:r>
            <w:r>
              <w:rPr>
                <w:rFonts w:ascii="Times New Roman" w:hAnsi="Times New Roman" w:eastAsia="仿宋_GB2312" w:cs="Times New Roman"/>
                <w:bCs/>
                <w:sz w:val="24"/>
                <w:szCs w:val="24"/>
              </w:rPr>
              <w:t>鲫急性毒性试验</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上海市检测中心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30569—2014《直齿锥齿轮精密冷锻件 结构设计规范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江苏太平洋精锻科技股份有限公司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IEC 62715-6-2:2017《柔性显示器件 第6-2部分 环境试验方法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昆山维信诺显示技术有限公司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 17749:2018《绝热材料制品-羊毛毡和板材-规范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无锡格迈思新材料科技有限公司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20154:2017(E)《船舶与海洋技术 船舶辅机隔振设计方法指南</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中国船舶科学研究中心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30073—2013《核电站热交换器用奥氏体不锈钢无缝钢管</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江苏银环精密钢管有限公司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IEC 60424-8:2015《铁氧体磁心-表面缺陷极限导则 第8部分：PQ型磁心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天通控股股份有限公司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32000—2015《美丽乡村建设指南</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浙江省湖州市安吉县人民政府</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T/ZZB 003—2014《吸油烟机</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宁波方太厨具有限公司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X.1040-2017《电子商务数据生命周期管理安全参考架构</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阿里巴巴（中国）有限公司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33071—2016《含钴废料处理处置技术规范</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浙江华友钴业股份有限公司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33386—</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工业用2,3,3,3-四氟丙烯(HFO-1234yf)</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浙江省化工研究院有限公司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HG/T 4607—</w:t>
            </w:r>
            <w:r>
              <w:rPr>
                <w:rFonts w:hint="eastAsia" w:ascii="Times New Roman" w:hAnsi="Times New Roman" w:eastAsia="仿宋_GB2312" w:cs="Times New Roman"/>
                <w:bCs/>
                <w:sz w:val="24"/>
                <w:szCs w:val="24"/>
                <w:lang w:eastAsia="zh-CN"/>
              </w:rPr>
              <w:t>2014《</w:t>
            </w:r>
            <w:r>
              <w:rPr>
                <w:rFonts w:ascii="Times New Roman" w:hAnsi="Times New Roman" w:eastAsia="仿宋_GB2312" w:cs="Times New Roman"/>
                <w:bCs/>
                <w:sz w:val="24"/>
                <w:szCs w:val="24"/>
              </w:rPr>
              <w:t>光学级聚酯薄膜 预涂底层聚对苯二甲酸乙二醇酯（PET）薄膜</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合肥乐凯科技产业有限公司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安徽省市场监管局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DB34/T 3113—</w:t>
            </w:r>
            <w:r>
              <w:rPr>
                <w:rFonts w:hint="eastAsia" w:ascii="Times New Roman" w:hAnsi="Times New Roman" w:eastAsia="仿宋_GB2312" w:cs="Times New Roman"/>
                <w:bCs/>
                <w:sz w:val="24"/>
                <w:szCs w:val="24"/>
                <w:lang w:eastAsia="zh-CN"/>
              </w:rPr>
              <w:t>2018《</w:t>
            </w:r>
            <w:r>
              <w:rPr>
                <w:rFonts w:ascii="Times New Roman" w:hAnsi="Times New Roman" w:eastAsia="仿宋_GB2312" w:cs="Times New Roman"/>
                <w:bCs/>
                <w:sz w:val="24"/>
                <w:szCs w:val="24"/>
              </w:rPr>
              <w:t>超导回旋加速器 输运线降能器设计准则</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合肥中科离子医学技术装备有限公司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安徽省市场监管局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NB/T 51007—</w:t>
            </w:r>
            <w:r>
              <w:rPr>
                <w:rFonts w:hint="eastAsia" w:ascii="Times New Roman" w:hAnsi="Times New Roman" w:eastAsia="仿宋_GB2312" w:cs="Times New Roman"/>
                <w:bCs/>
                <w:sz w:val="24"/>
                <w:szCs w:val="24"/>
                <w:lang w:eastAsia="zh-CN"/>
              </w:rPr>
              <w:t>2012《</w:t>
            </w:r>
            <w:r>
              <w:rPr>
                <w:rFonts w:ascii="Times New Roman" w:hAnsi="Times New Roman" w:eastAsia="仿宋_GB2312" w:cs="Times New Roman"/>
                <w:bCs/>
                <w:sz w:val="24"/>
                <w:szCs w:val="24"/>
              </w:rPr>
              <w:t>无煤柱煤与瓦斯共采技术规范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煤矿瓦斯治理国家工程研究中心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安徽省市场监管局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JB/T 12746—</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含缺陷高温压力管道和阀门安全评定方法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合肥通用机械研究院有限公司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安徽省市场监管局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30357.4—</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乌龙茶 第4部分：水仙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福建农林大学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34385—</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辊式冷弯成型机械通用技术条件</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厦门正黎明冶金机械有限公司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SJ/T 11601—</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信息技术 非接触式二维码扫描枪通用规范</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新大陆数字技术股份有限公司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DB35/T 1215—2011《捕食螨生产技术规程</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福建省农业科学院植物保护研究所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32046—</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电工用铜线坯单位产品能源消耗限额</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江西铜业股份有限公司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江西省市场监管局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13667.4—</w:t>
            </w:r>
            <w:r>
              <w:rPr>
                <w:rFonts w:hint="eastAsia" w:ascii="Times New Roman" w:hAnsi="Times New Roman" w:eastAsia="仿宋_GB2312" w:cs="Times New Roman"/>
                <w:bCs/>
                <w:sz w:val="24"/>
                <w:szCs w:val="24"/>
                <w:lang w:eastAsia="zh-CN"/>
              </w:rPr>
              <w:t>2013《</w:t>
            </w:r>
            <w:r>
              <w:rPr>
                <w:rFonts w:ascii="Times New Roman" w:hAnsi="Times New Roman" w:eastAsia="仿宋_GB2312" w:cs="Times New Roman"/>
                <w:bCs/>
                <w:sz w:val="24"/>
                <w:szCs w:val="24"/>
              </w:rPr>
              <w:t>钢制书架 第４部分：电动密集书架</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江西金虎保险设备集团有限公司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江西省市场监管局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19699-1: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吸收血液用聚丙烯酸钠高吸收性树脂  第1部分：测试方法</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山东昊月新材料股份有限公司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13941—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二苯基甲烷二异氰酸酯</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万华化学集团股份有限公司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TB/T 3260.1—2011《动车组用铝及铝合金 第1部分：基本要求</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中车青岛四方机车车辆股份有限公司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32420—</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无线局域网测试规范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山东省计算中心（国家超级计算济南中心）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24986.1—2010《家用和类似用途电器可靠性评价方法 第1部分：通用要求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海尔集团公司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Q/XJ 79.097—2010《特高压直流输电换流阀</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许继集团有限公司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34651—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全断面隧道掘进机 土压平衡盾构机</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中铁工程装备集团有限公司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15972.48—</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光纤试验方法规范 第48部分：传输特性和光学特性的测量方法和试验程序 偏振模色散</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中国信息通信科技集团有限公司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湖北省市场监管局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32276—</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纺织工业粉尘防爆安全规程</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武汉纺织大学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湖北省市场监管局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3077—</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合金结构钢</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大冶特殊钢有限公司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湖北省市场监管局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18668-1:</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中医药-中药编码系统 第1 部分：中药编码规则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等9项标准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深圳市卫生健康委员会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31528—</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含铜蚀刻废液处理处置技术规范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深圳市深投环保科技有限公司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T/CPASE MT002—</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自动扶梯和自动人行道超速及非操纵逆转保护装置动作的外接变频驱动试验方法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广东省特种设备检测研究院珠海检测院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33861—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高低温试验箱能效测试方法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广东产品质量监督检验研究院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DB44/T 1988—</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广东终身教育资历框架等级标准</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广东开放大学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NY/T 844—</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绿色食品 温带水果</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广东省农业科学院农产品公共监测中心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13161—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辐射防护仪器 测量X、γ、中子和β辐射个人剂量当量Hp(10)和Hp(0.07) 直读式个人剂量当量仪</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深圳市计量质量检测研究院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 45/T1642—</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卫生计生监督机构能力建设规范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广西壮族自治区卫生健康委</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广西壮族自治区市场监管局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33227—</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汽车用铝及铝合金板、带材</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西南铝业（集团）有限责任公司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重庆市市场监管局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ISO/IEC 19637《信息技术-传感器网络测试框架</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重庆邮电大学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重庆市市场监管局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WS 538—</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医学数字影像通信基本数据集</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电子科技大学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四川省市场监管局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NB/T 14003.1—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页岩气 压裂液 第1部分：滑溜水性能指标及评价方法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中国石油西南油气田公司天然气研究院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四川省市场监管局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34797—</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核酸引物探针质量技术要求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中国测试技术研究院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四川省市场监管局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DB52/T 1004—</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安顺瀑布毛峰茶</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贵州省茶叶研究所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贵州省市场监管局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2408:</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钢丝绳-要求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贵州钢绳股份有限公司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贵州省市场监管局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20409-</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中医药-三七药材</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昆明理工大学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T/DHX 0001—</w:t>
            </w:r>
            <w:r>
              <w:rPr>
                <w:rFonts w:hint="eastAsia" w:ascii="Times New Roman" w:hAnsi="Times New Roman" w:eastAsia="仿宋_GB2312" w:cs="Times New Roman"/>
                <w:bCs/>
                <w:sz w:val="24"/>
                <w:szCs w:val="24"/>
                <w:lang w:eastAsia="zh-CN"/>
              </w:rPr>
              <w:t>2018《</w:t>
            </w:r>
            <w:r>
              <w:rPr>
                <w:rFonts w:ascii="Times New Roman" w:hAnsi="Times New Roman" w:eastAsia="仿宋_GB2312" w:cs="Times New Roman"/>
                <w:bCs/>
                <w:sz w:val="24"/>
                <w:szCs w:val="24"/>
              </w:rPr>
              <w:t>切花质量 月季</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斗南花卉协会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DB53/T 769.1—</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布朗族服饰 第1部分：施甸区域</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DB54/T 0114—</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哈达</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西藏自治区标准化研究所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西藏自治区市场监管局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SY/T 6662.1—2012</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石油天然气工业用非金属复合管第1部分：钢骨架增强聚乙烯复合管</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中国石油集团石油管工程技术研究院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陕西省市场监管局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 62/T 2744—2016</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河西及沿黄灌区玉米密植机械粒收栽培技术规程</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甘肃省农业技术推广总站</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151—</w:t>
            </w:r>
            <w:r>
              <w:rPr>
                <w:rFonts w:hint="eastAsia" w:ascii="Times New Roman" w:hAnsi="Times New Roman" w:eastAsia="仿宋_GB2312" w:cs="Times New Roman"/>
                <w:bCs/>
                <w:sz w:val="24"/>
                <w:szCs w:val="24"/>
                <w:lang w:eastAsia="zh-CN"/>
              </w:rPr>
              <w:t>2014《</w:t>
            </w:r>
            <w:r>
              <w:rPr>
                <w:rFonts w:ascii="Times New Roman" w:hAnsi="Times New Roman" w:eastAsia="仿宋_GB2312" w:cs="Times New Roman"/>
                <w:bCs/>
                <w:sz w:val="24"/>
                <w:szCs w:val="24"/>
              </w:rPr>
              <w:t>热交换器</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甘肃蓝科石化高新装备股份有限公司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T/GMES 001—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单级单吸无轴封永磁传动离心泵</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甘肃省科学院磁性器件研究所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甘肃省市场监管局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 63/T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1304—2014《氯化钾生产技术冷结晶-正浮选法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等9项标准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青海盐湖工业股份有限公司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青海省市场监管局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YS/T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425—</w:t>
            </w:r>
            <w:r>
              <w:rPr>
                <w:rFonts w:hint="eastAsia" w:ascii="Times New Roman" w:hAnsi="Times New Roman" w:eastAsia="仿宋_GB2312" w:cs="Times New Roman"/>
                <w:bCs/>
                <w:sz w:val="24"/>
                <w:szCs w:val="24"/>
                <w:lang w:eastAsia="zh-CN"/>
              </w:rPr>
              <w:t>2013《</w:t>
            </w:r>
            <w:r>
              <w:rPr>
                <w:rFonts w:ascii="Times New Roman" w:hAnsi="Times New Roman" w:eastAsia="仿宋_GB2312" w:cs="Times New Roman"/>
                <w:bCs/>
                <w:sz w:val="24"/>
                <w:szCs w:val="24"/>
              </w:rPr>
              <w:t>锑铍芯块</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西北稀有金属材料研究院宁夏有限公司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宁夏回族自治区市场监管厅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YS/T</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573—</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钽粉</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宁夏东方钽业股份有限公司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宁夏回族自治区市场监管厅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 65/T 3992—2017《新疆褐牛品种和良种登记规程</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新疆农业大学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新疆维吾尔自治区市场监管局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31518—</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直驱永磁风力发电机组</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新疆金风科技股份有限公司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新疆维吾尔自治区市场监管局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30582—</w:t>
            </w:r>
            <w:r>
              <w:rPr>
                <w:rFonts w:hint="eastAsia" w:ascii="Times New Roman" w:hAnsi="Times New Roman" w:eastAsia="仿宋_GB2312" w:cs="Times New Roman"/>
                <w:bCs/>
                <w:sz w:val="24"/>
                <w:szCs w:val="24"/>
                <w:lang w:eastAsia="zh-CN"/>
              </w:rPr>
              <w:t>2014《</w:t>
            </w:r>
            <w:r>
              <w:rPr>
                <w:rFonts w:ascii="Times New Roman" w:hAnsi="Times New Roman" w:eastAsia="仿宋_GB2312" w:cs="Times New Roman"/>
                <w:bCs/>
                <w:sz w:val="24"/>
                <w:szCs w:val="24"/>
              </w:rPr>
              <w:t>基于风险的埋地钢质管道外损伤检验与评价</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中国特种设备检测研究院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中国特种设备检测研究院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RB/T 198—2015《司法鉴定/法庭科学机构能力认可通用要求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中国合格评定国家认可中心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中国合格评定国家认可中心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34453—</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扭扭车通用技术要求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福建省产品质量检验研究院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中国检验检测学会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 27421—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移动式实验室 生物安全要求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中国合格评定国家认可中心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中国认证认可协会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T/CAS 289—</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家用房间空气调节器 智能水平评价技术规范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中国家用电器研究院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31778—</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数字城市一卡通互联互通 通用技术要求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中外建设信息有限责任公司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国家技术标准创新基地（中关村）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34139—</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柔性直流输电换流器技术规范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南方电网科学研究院有限责任公司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DB44/T 1147—</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行政许可事项办事指南编写规范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国家技术标准创新基地（华南中心）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18604—</w:t>
            </w:r>
            <w:r>
              <w:rPr>
                <w:rFonts w:hint="eastAsia" w:ascii="Times New Roman" w:hAnsi="Times New Roman" w:eastAsia="仿宋_GB2312" w:cs="Times New Roman"/>
                <w:bCs/>
                <w:sz w:val="24"/>
                <w:szCs w:val="24"/>
                <w:lang w:eastAsia="zh-CN"/>
              </w:rPr>
              <w:t>2014《</w:t>
            </w:r>
            <w:r>
              <w:rPr>
                <w:rFonts w:ascii="Times New Roman" w:hAnsi="Times New Roman" w:eastAsia="仿宋_GB2312" w:cs="Times New Roman"/>
                <w:bCs/>
                <w:sz w:val="24"/>
                <w:szCs w:val="24"/>
              </w:rPr>
              <w:t>用气体超声流量计测量天然气流量</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国家石油天然气大流量计量站成都分站(中国石油天然气股份有限公司西南油气田分公司天然气计量检测中心)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35356—</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数控光纤激光无序毛化机床</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 xml:space="preserve"> </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武汉武钢华工激光大型装备有限公司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国家技术标准创新基地（中国光谷）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18801—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空气净化器</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中国家用电器研究院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国家技术标准创新基地（家用电器）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Q/GDW</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11547—</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统一潮流控制器工程设计导则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等10项标准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国网江苏省电力有限公司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国家技术标准创新基地（智能电网）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JT/T 1172.1—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系列2集装箱 技术要求和试验方法 第1部分：通用货物集装箱</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交通运输部水运科学研究所</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集装箱</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33658—2017《室内人体热舒适环境要求与评价方法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人类工效学</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30008—2013《节能型船舶能效设计指数基准线值</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中国船舶工业综合技术经济研究院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海洋船</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28750—2012《节能量测量和验证技术通则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能源基础与管理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33190—</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电子文件存储与交换格式版式文档</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等9项标准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中国电子技术标准化研究院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信息技术</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26533—2011</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俄歇电子能谱分析方法通则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等8项标准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清华大学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全国微束分析标准化技术委员会（SAC/TC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31116</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八宝粥罐头</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厦门银鹭食品集团有限公司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食品工业</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30573—2014</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精密冲裁件通用技术条件</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北京机电研究所有限公司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锻压</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32541—</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热处理质量控制体系</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江苏丰东热技术有限公司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热处理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 34457—</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饲料添加剂 磷酸三钙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中国饲料工业协会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饲料工业</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SY/T 6958—</w:t>
            </w:r>
            <w:r>
              <w:rPr>
                <w:rFonts w:hint="eastAsia" w:ascii="Times New Roman" w:hAnsi="Times New Roman" w:eastAsia="仿宋_GB2312" w:cs="Times New Roman"/>
                <w:bCs/>
                <w:sz w:val="24"/>
                <w:szCs w:val="24"/>
                <w:lang w:eastAsia="zh-CN"/>
              </w:rPr>
              <w:t>2013《</w:t>
            </w:r>
            <w:r>
              <w:rPr>
                <w:rFonts w:ascii="Times New Roman" w:hAnsi="Times New Roman" w:eastAsia="仿宋_GB2312" w:cs="Times New Roman"/>
                <w:bCs/>
                <w:sz w:val="24"/>
                <w:szCs w:val="24"/>
              </w:rPr>
              <w:t>低温石油钻机和修井机</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宝鸡石油机械有限责任公司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石油钻采设备和工具</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GSB 11-3404—</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8种野生大豆种子标准样品</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等10项国家标准样品</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大连海关技术中心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标准样品</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31821—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电梯主要部件报废技术条件</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上海市特种设备监督检验技术研究院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电梯</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32161—</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生态设计产品评价通则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环境管理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 5768.5—</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道路交通标志和标线 第5部分: 限制速度</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交通运输部公路科学研究院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交通工程设施（公路）</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13560—</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烧结钕铁硼永磁材料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等5项标准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包头稀土研究院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稀土</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34890—</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产品几何技术规范（GPS）数字摄影三坐标测量系统的验收检测和复检检测</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国家重大技术装备几何量计量站</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产品几何技术规范</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20729:</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天然气 - 硫化合物测定 - 用紫外荧光光度法测定总硫含量</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等2项国际标准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中国石油天然气股份有限公司西南油气田分公司天然气研究院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天然气</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T/CEC 165.1—2018</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电供暖系统技术规范　第1部分：总则</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中国电力科学研究院有限公司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电磁兼容</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14372—2013</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危险货物运输爆炸品的认可和分项试验方法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国家民用爆破器材质量监督检验中心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危险化学品管理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32918</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信息安全技术 SM2椭圆曲线公钥密码算法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北京华大信安科技有限公司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信息安全</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27309—2014</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合格评定 能源管理体系认证机构要求</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中国合格评定国家认可中心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认证认可</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34019—</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超高压容器</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中国特种设备检测研究院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全国锅炉压力容器标准化技术委员会（SAC/TC262）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ISO 13111-1:2017</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智能运输系统 支持ITS服务的便携终端应用 第1部分：通用信息与用例</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交通运输部公路科学研究院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智能运输系统</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30334—2013</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物流园区服务规范及评估指标</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上海市质量和标准化研究院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物流</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18351—</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 xml:space="preserve">车用乙醇汽油（E10) </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中国石油化工股份有限公司石油化工科学研究院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石油产品和润滑剂</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20001.5—</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标准编写规则 第5部分：规范标准</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标准化原理与方法</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28618—</w:t>
            </w:r>
            <w:r>
              <w:rPr>
                <w:rFonts w:hint="eastAsia" w:ascii="Times New Roman" w:hAnsi="Times New Roman" w:eastAsia="仿宋_GB2312" w:cs="Times New Roman"/>
                <w:bCs/>
                <w:sz w:val="24"/>
                <w:szCs w:val="24"/>
                <w:lang w:eastAsia="zh-CN"/>
              </w:rPr>
              <w:t>2012《</w:t>
            </w:r>
            <w:r>
              <w:rPr>
                <w:rFonts w:ascii="Times New Roman" w:hAnsi="Times New Roman" w:eastAsia="仿宋_GB2312" w:cs="Times New Roman"/>
                <w:bCs/>
                <w:sz w:val="24"/>
                <w:szCs w:val="24"/>
              </w:rPr>
              <w:t>机械产品再制造通用技术要求</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等6项国家标准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中机生产力促进中心</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绿色制造技术</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31082—</w:t>
            </w:r>
            <w:r>
              <w:rPr>
                <w:rFonts w:hint="eastAsia" w:ascii="Times New Roman" w:hAnsi="Times New Roman" w:eastAsia="仿宋_GB2312" w:cs="Times New Roman"/>
                <w:bCs/>
                <w:sz w:val="24"/>
                <w:szCs w:val="24"/>
                <w:lang w:eastAsia="zh-CN"/>
              </w:rPr>
              <w:t>2014《</w:t>
            </w:r>
            <w:r>
              <w:rPr>
                <w:rFonts w:ascii="Times New Roman" w:hAnsi="Times New Roman" w:eastAsia="仿宋_GB2312" w:cs="Times New Roman"/>
                <w:bCs/>
                <w:sz w:val="24"/>
                <w:szCs w:val="24"/>
              </w:rPr>
              <w:t>展览会数据审核规则</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上海市质量和标准化研究院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会展业</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33668—</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地铁安全疏散规范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等6项标准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中国安全生产科学研究院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公共安全基础</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34906—</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致密油地质评价方法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中国石油天然气股份有限公司勘探开发研究院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石油天然气</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30219—</w:t>
            </w:r>
            <w:r>
              <w:rPr>
                <w:rFonts w:hint="eastAsia" w:ascii="Times New Roman" w:hAnsi="Times New Roman" w:eastAsia="仿宋_GB2312" w:cs="Times New Roman"/>
                <w:bCs/>
                <w:sz w:val="24"/>
                <w:szCs w:val="24"/>
                <w:lang w:eastAsia="zh-CN"/>
              </w:rPr>
              <w:t>2013《</w:t>
            </w:r>
            <w:r>
              <w:rPr>
                <w:rFonts w:ascii="Times New Roman" w:hAnsi="Times New Roman" w:eastAsia="仿宋_GB2312" w:cs="Times New Roman"/>
                <w:bCs/>
                <w:sz w:val="24"/>
                <w:szCs w:val="24"/>
              </w:rPr>
              <w:t>中药煎药机</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北京东华原医疗设备有限责任公司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制药装备</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33797—</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塑料 在高固体份堆肥条件下最终厌氧生物分解能力的测定 采用分析测定释放生物气体的方法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w:t>
            </w:r>
            <w:r>
              <w:rPr>
                <w:rFonts w:hint="eastAsia" w:ascii="Times New Roman" w:hAnsi="Times New Roman" w:eastAsia="仿宋_GB2312" w:cs="Times New Roman"/>
                <w:bCs/>
                <w:sz w:val="24"/>
                <w:szCs w:val="24"/>
                <w:lang w:val="en-US" w:eastAsia="zh-CN"/>
              </w:rPr>
              <w:t>4</w:t>
            </w:r>
            <w:r>
              <w:rPr>
                <w:rFonts w:ascii="Times New Roman" w:hAnsi="Times New Roman" w:eastAsia="仿宋_GB2312" w:cs="Times New Roman"/>
                <w:bCs/>
                <w:sz w:val="24"/>
                <w:szCs w:val="24"/>
              </w:rPr>
              <w:t>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北京工商大学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生物基材料及降解制品</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32373—</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反渗透膜测试方法</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时代沃顿科技有限公司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分离膜</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JB/T 12938.1—</w:t>
            </w:r>
            <w:r>
              <w:rPr>
                <w:rFonts w:hint="eastAsia" w:ascii="Times New Roman" w:hAnsi="Times New Roman" w:eastAsia="仿宋_GB2312" w:cs="Times New Roman"/>
                <w:bCs/>
                <w:sz w:val="24"/>
                <w:szCs w:val="24"/>
                <w:lang w:eastAsia="zh-CN"/>
              </w:rPr>
              <w:t>2016《</w:t>
            </w:r>
            <w:r>
              <w:rPr>
                <w:rFonts w:ascii="Times New Roman" w:hAnsi="Times New Roman" w:eastAsia="仿宋_GB2312" w:cs="Times New Roman"/>
                <w:bCs/>
                <w:sz w:val="24"/>
                <w:szCs w:val="24"/>
              </w:rPr>
              <w:t>板坯连铸机 第1部分：术语</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中国重型机械研究院股份公司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冶金设备</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29750—</w:t>
            </w:r>
            <w:r>
              <w:rPr>
                <w:rFonts w:hint="eastAsia" w:ascii="Times New Roman" w:hAnsi="Times New Roman" w:eastAsia="仿宋_GB2312" w:cs="Times New Roman"/>
                <w:bCs/>
                <w:sz w:val="24"/>
                <w:szCs w:val="24"/>
                <w:lang w:eastAsia="zh-CN"/>
              </w:rPr>
              <w:t>2013《</w:t>
            </w:r>
            <w:r>
              <w:rPr>
                <w:rFonts w:ascii="Times New Roman" w:hAnsi="Times New Roman" w:eastAsia="仿宋_GB2312" w:cs="Times New Roman"/>
                <w:bCs/>
                <w:sz w:val="24"/>
                <w:szCs w:val="24"/>
              </w:rPr>
              <w:t>废弃资源综合利用业环境管理体系实施指南</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产品回收利用基础与管理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26429—2010</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设备工程监理规范</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中国设备监理协会</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设备监理工程咨询</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JB/T 12747—</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竹代木复合材料电线电缆交货盘</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南京林业大学</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包装机械</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 25502—</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坐便器水效限定值及水效等级</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节水</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QB/T 5163—</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食醋中乙酸的稳定碳同位素比值（13C/12C）测定方法 气相色谱-燃烧-稳定同位素比值质谱法</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等14项标准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中国食品发酵工业研究院有限公司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特殊膳食</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2286—</w:t>
            </w:r>
            <w:r>
              <w:rPr>
                <w:rFonts w:hint="eastAsia" w:ascii="Times New Roman" w:hAnsi="Times New Roman" w:eastAsia="仿宋_GB2312" w:cs="Times New Roman"/>
                <w:bCs/>
                <w:sz w:val="24"/>
                <w:szCs w:val="24"/>
                <w:lang w:eastAsia="zh-CN"/>
              </w:rPr>
              <w:t>2017《</w:t>
            </w:r>
            <w:r>
              <w:rPr>
                <w:rFonts w:ascii="Times New Roman" w:hAnsi="Times New Roman" w:eastAsia="仿宋_GB2312" w:cs="Times New Roman"/>
                <w:bCs/>
                <w:sz w:val="24"/>
                <w:szCs w:val="24"/>
              </w:rPr>
              <w:t>焦炭全硫含量的测定方法</w:t>
            </w:r>
            <w:r>
              <w:rPr>
                <w:rFonts w:hint="eastAsia" w:ascii="Times New Roman" w:hAnsi="Times New Roman" w:eastAsia="仿宋_GB2312" w:cs="Times New Roman"/>
                <w:bCs/>
                <w:sz w:val="24"/>
                <w:szCs w:val="24"/>
                <w:lang w:eastAsia="zh-CN"/>
              </w:rPr>
              <w:t>》等</w:t>
            </w:r>
            <w:r>
              <w:rPr>
                <w:rFonts w:ascii="Times New Roman" w:hAnsi="Times New Roman" w:eastAsia="仿宋_GB2312" w:cs="Times New Roman"/>
                <w:bCs/>
                <w:sz w:val="24"/>
                <w:szCs w:val="24"/>
              </w:rPr>
              <w:t xml:space="preserve"> 3项标准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中钢集团鞍山热能研究院有限公司</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煤化工</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31870—2015</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企业质量信用报告编写指南</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社会信用</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31710.2—</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休闲露营地建设与服务规范 第二部分：自驾车露营地</w:t>
            </w:r>
            <w:r>
              <w:rPr>
                <w:rFonts w:hint="eastAsia" w:ascii="Times New Roman" w:hAnsi="Times New Roman" w:eastAsia="仿宋_GB2312" w:cs="Times New Roman"/>
                <w:bCs/>
                <w:sz w:val="24"/>
                <w:szCs w:val="24"/>
                <w:lang w:eastAsia="zh-CN"/>
              </w:rPr>
              <w:t>》</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北京同和时代旅游规划设计院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休闲</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DB32/T 2772—</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环境监控物联网系统建设要求 空气环境质量监测信息传输技术规范</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等7项标准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江苏省质量和标准化研究院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城市可持续发展</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7" w:type="dxa"/>
            <w:vAlign w:val="center"/>
          </w:tcPr>
          <w:p>
            <w:pPr>
              <w:numPr>
                <w:ilvl w:val="0"/>
                <w:numId w:val="1"/>
              </w:numPr>
              <w:adjustRightInd w:val="0"/>
              <w:snapToGrid w:val="0"/>
              <w:spacing w:line="300" w:lineRule="exact"/>
              <w:jc w:val="center"/>
              <w:rPr>
                <w:rFonts w:ascii="Times New Roman" w:hAnsi="Times New Roman" w:eastAsia="仿宋_GB2312" w:cs="Times New Roman"/>
                <w:bCs/>
                <w:sz w:val="24"/>
                <w:szCs w:val="24"/>
              </w:rPr>
            </w:pPr>
          </w:p>
        </w:tc>
        <w:tc>
          <w:tcPr>
            <w:tcW w:w="5547" w:type="dxa"/>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ascii="Times New Roman" w:hAnsi="Times New Roman" w:eastAsia="仿宋_GB2312" w:cs="Times New Roman"/>
                <w:bCs/>
                <w:sz w:val="24"/>
                <w:szCs w:val="24"/>
              </w:rPr>
              <w:t>GB/T 31360—</w:t>
            </w:r>
            <w:r>
              <w:rPr>
                <w:rFonts w:hint="eastAsia" w:ascii="Times New Roman" w:hAnsi="Times New Roman" w:eastAsia="仿宋_GB2312" w:cs="Times New Roman"/>
                <w:bCs/>
                <w:sz w:val="24"/>
                <w:szCs w:val="24"/>
                <w:lang w:eastAsia="zh-CN"/>
              </w:rPr>
              <w:t>2015《</w:t>
            </w:r>
            <w:r>
              <w:rPr>
                <w:rFonts w:ascii="Times New Roman" w:hAnsi="Times New Roman" w:eastAsia="仿宋_GB2312" w:cs="Times New Roman"/>
                <w:bCs/>
                <w:sz w:val="24"/>
                <w:szCs w:val="24"/>
              </w:rPr>
              <w:t>固定资产核心元数据</w:t>
            </w:r>
            <w:r>
              <w:rPr>
                <w:rFonts w:hint="eastAsia" w:ascii="Times New Roman" w:hAnsi="Times New Roman" w:eastAsia="仿宋_GB2312" w:cs="Times New Roman"/>
                <w:bCs/>
                <w:sz w:val="24"/>
                <w:szCs w:val="24"/>
                <w:lang w:eastAsia="zh-CN"/>
              </w:rPr>
              <w:t>》</w:t>
            </w:r>
            <w:r>
              <w:rPr>
                <w:rFonts w:ascii="Times New Roman" w:hAnsi="Times New Roman" w:eastAsia="仿宋_GB2312" w:cs="Times New Roman"/>
                <w:bCs/>
                <w:sz w:val="24"/>
                <w:szCs w:val="24"/>
              </w:rPr>
              <w:t>等2项标准</w:t>
            </w:r>
          </w:p>
        </w:tc>
        <w:tc>
          <w:tcPr>
            <w:tcW w:w="320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中国标准化研究院</w:t>
            </w:r>
          </w:p>
        </w:tc>
        <w:tc>
          <w:tcPr>
            <w:tcW w:w="2410" w:type="dxa"/>
            <w:vAlign w:val="center"/>
          </w:tcPr>
          <w:p>
            <w:pPr>
              <w:adjustRightInd w:val="0"/>
              <w:snapToGrid w:val="0"/>
              <w:spacing w:line="30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eastAsia="zh-CN"/>
              </w:rPr>
              <w:t>全国</w:t>
            </w:r>
            <w:r>
              <w:rPr>
                <w:rFonts w:ascii="Times New Roman" w:hAnsi="Times New Roman" w:eastAsia="仿宋_GB2312" w:cs="Times New Roman"/>
                <w:bCs/>
                <w:sz w:val="24"/>
                <w:szCs w:val="24"/>
              </w:rPr>
              <w:t>资产管理</w:t>
            </w:r>
            <w:r>
              <w:rPr>
                <w:rFonts w:hint="eastAsia" w:ascii="Times New Roman" w:hAnsi="Times New Roman" w:eastAsia="仿宋_GB2312" w:cs="Times New Roman"/>
                <w:bCs/>
                <w:sz w:val="24"/>
                <w:szCs w:val="24"/>
                <w:lang w:eastAsia="zh-CN"/>
              </w:rPr>
              <w:t>标准化技术委员会</w:t>
            </w:r>
            <w:r>
              <w:rPr>
                <w:rFonts w:ascii="Times New Roman" w:hAnsi="Times New Roman" w:eastAsia="仿宋_GB2312" w:cs="Times New Roman"/>
                <w:bCs/>
                <w:sz w:val="24"/>
                <w:szCs w:val="24"/>
              </w:rPr>
              <w:t>（SAC/TC583）</w:t>
            </w:r>
          </w:p>
        </w:tc>
      </w:tr>
    </w:tbl>
    <w:p>
      <w:pPr>
        <w:widowControl/>
        <w:spacing w:line="20" w:lineRule="exact"/>
        <w:jc w:val="left"/>
        <w:rPr>
          <w:rFonts w:ascii="Times New Roman" w:hAnsi="Times New Roman" w:eastAsia="黑体" w:cs="Times New Roman"/>
          <w:sz w:val="32"/>
          <w:szCs w:val="32"/>
        </w:rPr>
      </w:pPr>
    </w:p>
    <w:sectPr>
      <w:footerReference r:id="rId3" w:type="default"/>
      <w:pgSz w:w="16838" w:h="11906" w:orient="landscape"/>
      <w:pgMar w:top="1474" w:right="1984" w:bottom="1474" w:left="1361" w:header="851" w:footer="992" w:gutter="0"/>
      <w:pgNumType w:fmt="numberInDash"/>
      <w:cols w:space="0" w:num="1"/>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_HKSCS-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645711162"/>
                          </w:sdtPr>
                          <w:sdtEndPr>
                            <w:rPr>
                              <w:rFonts w:hint="eastAsia" w:ascii="仿宋_GB2312" w:hAnsi="仿宋_GB2312" w:eastAsia="仿宋_GB2312" w:cs="仿宋_GB2312"/>
                              <w:sz w:val="32"/>
                              <w:szCs w:val="32"/>
                            </w:rPr>
                          </w:sdtEndPr>
                          <w:sdtContent>
                            <w:p>
                              <w:pPr>
                                <w:pStyle w:val="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8</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OpCYwwEAAG0DAAAOAAAAAAAAAAEAIAAAAB4BAABkcnMvZTJvRG9jLnhtbFBL&#10;BQYAAAAABgAGAFkBAABTBQAAAAA=&#10;">
              <v:fill on="f" focussize="0,0"/>
              <v:stroke on="f"/>
              <v:imagedata o:title=""/>
              <o:lock v:ext="edit" aspectratio="f"/>
              <v:textbox inset="0mm,0mm,0mm,0mm" style="mso-fit-shape-to-text:t;">
                <w:txbxContent>
                  <w:sdt>
                    <w:sdtPr>
                      <w:id w:val="645711162"/>
                    </w:sdtPr>
                    <w:sdtEndPr>
                      <w:rPr>
                        <w:rFonts w:hint="eastAsia" w:ascii="仿宋_GB2312" w:hAnsi="仿宋_GB2312" w:eastAsia="仿宋_GB2312" w:cs="仿宋_GB2312"/>
                        <w:sz w:val="32"/>
                        <w:szCs w:val="32"/>
                      </w:rPr>
                    </w:sdtEndPr>
                    <w:sdtContent>
                      <w:p>
                        <w:pPr>
                          <w:pStyle w:val="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8</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5FF"/>
    <w:multiLevelType w:val="multilevel"/>
    <w:tmpl w:val="262E65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49"/>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0"/>
    <w:rsid w:val="00013797"/>
    <w:rsid w:val="0002094A"/>
    <w:rsid w:val="00033DCB"/>
    <w:rsid w:val="00051641"/>
    <w:rsid w:val="000A0098"/>
    <w:rsid w:val="000A2ECE"/>
    <w:rsid w:val="000C55CF"/>
    <w:rsid w:val="000E6CAD"/>
    <w:rsid w:val="0010198C"/>
    <w:rsid w:val="00114E49"/>
    <w:rsid w:val="00180CF1"/>
    <w:rsid w:val="0019466F"/>
    <w:rsid w:val="001B429D"/>
    <w:rsid w:val="001C5836"/>
    <w:rsid w:val="00205E55"/>
    <w:rsid w:val="00214310"/>
    <w:rsid w:val="00227CD7"/>
    <w:rsid w:val="00247F61"/>
    <w:rsid w:val="002805E7"/>
    <w:rsid w:val="00291B71"/>
    <w:rsid w:val="00292C9D"/>
    <w:rsid w:val="002B28DD"/>
    <w:rsid w:val="002B600D"/>
    <w:rsid w:val="003148C4"/>
    <w:rsid w:val="00324037"/>
    <w:rsid w:val="003612FC"/>
    <w:rsid w:val="00370DB6"/>
    <w:rsid w:val="003940CE"/>
    <w:rsid w:val="003C5F3D"/>
    <w:rsid w:val="003E156F"/>
    <w:rsid w:val="004331E4"/>
    <w:rsid w:val="00434B93"/>
    <w:rsid w:val="004517E6"/>
    <w:rsid w:val="00470B52"/>
    <w:rsid w:val="00474568"/>
    <w:rsid w:val="00482EF0"/>
    <w:rsid w:val="00487166"/>
    <w:rsid w:val="00497A9C"/>
    <w:rsid w:val="004A2F24"/>
    <w:rsid w:val="004B1616"/>
    <w:rsid w:val="004B1BFF"/>
    <w:rsid w:val="004C0D69"/>
    <w:rsid w:val="004D172F"/>
    <w:rsid w:val="00515B4C"/>
    <w:rsid w:val="00532685"/>
    <w:rsid w:val="00553B03"/>
    <w:rsid w:val="005650B2"/>
    <w:rsid w:val="00565D69"/>
    <w:rsid w:val="005A510F"/>
    <w:rsid w:val="005A6A1E"/>
    <w:rsid w:val="005B2DCA"/>
    <w:rsid w:val="005D4D0B"/>
    <w:rsid w:val="006312F2"/>
    <w:rsid w:val="00635D75"/>
    <w:rsid w:val="00656FD3"/>
    <w:rsid w:val="006624E7"/>
    <w:rsid w:val="00692963"/>
    <w:rsid w:val="006B5CFE"/>
    <w:rsid w:val="006C3197"/>
    <w:rsid w:val="006D28C9"/>
    <w:rsid w:val="007132F8"/>
    <w:rsid w:val="007348B5"/>
    <w:rsid w:val="00740AA8"/>
    <w:rsid w:val="007725EE"/>
    <w:rsid w:val="00780E21"/>
    <w:rsid w:val="00786425"/>
    <w:rsid w:val="00786C44"/>
    <w:rsid w:val="007D2B05"/>
    <w:rsid w:val="007E0602"/>
    <w:rsid w:val="007F3963"/>
    <w:rsid w:val="00835C79"/>
    <w:rsid w:val="0084754B"/>
    <w:rsid w:val="00855DE1"/>
    <w:rsid w:val="008606C6"/>
    <w:rsid w:val="00863310"/>
    <w:rsid w:val="00891B6A"/>
    <w:rsid w:val="008A0FF1"/>
    <w:rsid w:val="008A31B9"/>
    <w:rsid w:val="008A53AF"/>
    <w:rsid w:val="008A6897"/>
    <w:rsid w:val="008B633C"/>
    <w:rsid w:val="008F670C"/>
    <w:rsid w:val="00965F14"/>
    <w:rsid w:val="009842E1"/>
    <w:rsid w:val="0099578E"/>
    <w:rsid w:val="009A04AF"/>
    <w:rsid w:val="009A0CE1"/>
    <w:rsid w:val="009A7F34"/>
    <w:rsid w:val="009C42A4"/>
    <w:rsid w:val="009C5264"/>
    <w:rsid w:val="009D00F3"/>
    <w:rsid w:val="009D23A8"/>
    <w:rsid w:val="00A2522E"/>
    <w:rsid w:val="00A7251F"/>
    <w:rsid w:val="00A97421"/>
    <w:rsid w:val="00A97DA0"/>
    <w:rsid w:val="00AA1035"/>
    <w:rsid w:val="00AB68DC"/>
    <w:rsid w:val="00AC2057"/>
    <w:rsid w:val="00AF1544"/>
    <w:rsid w:val="00AF2C9D"/>
    <w:rsid w:val="00AF5847"/>
    <w:rsid w:val="00AF6B08"/>
    <w:rsid w:val="00B247F3"/>
    <w:rsid w:val="00B70AF9"/>
    <w:rsid w:val="00BC61B9"/>
    <w:rsid w:val="00BF2E00"/>
    <w:rsid w:val="00C06B46"/>
    <w:rsid w:val="00C20AD0"/>
    <w:rsid w:val="00C3226B"/>
    <w:rsid w:val="00C57FFC"/>
    <w:rsid w:val="00C60FB4"/>
    <w:rsid w:val="00CA341D"/>
    <w:rsid w:val="00CC5D7B"/>
    <w:rsid w:val="00CC73B3"/>
    <w:rsid w:val="00CD0ED8"/>
    <w:rsid w:val="00CE6124"/>
    <w:rsid w:val="00D203E6"/>
    <w:rsid w:val="00D401BF"/>
    <w:rsid w:val="00D46756"/>
    <w:rsid w:val="00D537F4"/>
    <w:rsid w:val="00D60135"/>
    <w:rsid w:val="00D6251A"/>
    <w:rsid w:val="00D63E9E"/>
    <w:rsid w:val="00D977B2"/>
    <w:rsid w:val="00DA4966"/>
    <w:rsid w:val="00DD67C1"/>
    <w:rsid w:val="00DE0A9A"/>
    <w:rsid w:val="00DF714E"/>
    <w:rsid w:val="00E05222"/>
    <w:rsid w:val="00E15DDA"/>
    <w:rsid w:val="00E3280B"/>
    <w:rsid w:val="00E411B0"/>
    <w:rsid w:val="00E51437"/>
    <w:rsid w:val="00EA35B0"/>
    <w:rsid w:val="00ED1F09"/>
    <w:rsid w:val="00EE0AEF"/>
    <w:rsid w:val="00EE12D9"/>
    <w:rsid w:val="00F35878"/>
    <w:rsid w:val="00F5346F"/>
    <w:rsid w:val="00F60BA3"/>
    <w:rsid w:val="00F64204"/>
    <w:rsid w:val="00F67171"/>
    <w:rsid w:val="00F83F66"/>
    <w:rsid w:val="00FA2185"/>
    <w:rsid w:val="00FB6F1D"/>
    <w:rsid w:val="00FC0276"/>
    <w:rsid w:val="00FE6290"/>
    <w:rsid w:val="011F3750"/>
    <w:rsid w:val="019638C6"/>
    <w:rsid w:val="0238609C"/>
    <w:rsid w:val="039A1C27"/>
    <w:rsid w:val="0479580E"/>
    <w:rsid w:val="04FB4732"/>
    <w:rsid w:val="05584B43"/>
    <w:rsid w:val="06CF7BB1"/>
    <w:rsid w:val="083876F6"/>
    <w:rsid w:val="08DE25A4"/>
    <w:rsid w:val="09690CED"/>
    <w:rsid w:val="0A2D52BF"/>
    <w:rsid w:val="0AB05F7E"/>
    <w:rsid w:val="0ADE0FE4"/>
    <w:rsid w:val="0B9954CC"/>
    <w:rsid w:val="0C181683"/>
    <w:rsid w:val="0C826393"/>
    <w:rsid w:val="0DCE45B4"/>
    <w:rsid w:val="0E0210D1"/>
    <w:rsid w:val="0EE811FD"/>
    <w:rsid w:val="0FE746D4"/>
    <w:rsid w:val="0FF51B90"/>
    <w:rsid w:val="106D1344"/>
    <w:rsid w:val="119724F9"/>
    <w:rsid w:val="11E50F24"/>
    <w:rsid w:val="12575356"/>
    <w:rsid w:val="12835D79"/>
    <w:rsid w:val="12A0206E"/>
    <w:rsid w:val="13567690"/>
    <w:rsid w:val="152D6B02"/>
    <w:rsid w:val="17592C9A"/>
    <w:rsid w:val="17F232A8"/>
    <w:rsid w:val="19E828A6"/>
    <w:rsid w:val="1C8048EB"/>
    <w:rsid w:val="1C8458EE"/>
    <w:rsid w:val="1C9C0FA3"/>
    <w:rsid w:val="1CA43F79"/>
    <w:rsid w:val="1F480423"/>
    <w:rsid w:val="21592932"/>
    <w:rsid w:val="22994DFD"/>
    <w:rsid w:val="230C148B"/>
    <w:rsid w:val="24594ED3"/>
    <w:rsid w:val="24B23348"/>
    <w:rsid w:val="25634716"/>
    <w:rsid w:val="257C3779"/>
    <w:rsid w:val="25C500FC"/>
    <w:rsid w:val="26DC0CAF"/>
    <w:rsid w:val="274649C7"/>
    <w:rsid w:val="29821832"/>
    <w:rsid w:val="299534D0"/>
    <w:rsid w:val="29BE0752"/>
    <w:rsid w:val="2A0C63AF"/>
    <w:rsid w:val="2AB06C5A"/>
    <w:rsid w:val="2AD77D8A"/>
    <w:rsid w:val="2AE96211"/>
    <w:rsid w:val="2B6A75A5"/>
    <w:rsid w:val="2BDF25C8"/>
    <w:rsid w:val="2C266355"/>
    <w:rsid w:val="2D243C96"/>
    <w:rsid w:val="2D677B20"/>
    <w:rsid w:val="2DB5072E"/>
    <w:rsid w:val="2E2D72F5"/>
    <w:rsid w:val="305123D1"/>
    <w:rsid w:val="30C82939"/>
    <w:rsid w:val="31505DF4"/>
    <w:rsid w:val="315E4870"/>
    <w:rsid w:val="31D26C88"/>
    <w:rsid w:val="32E47676"/>
    <w:rsid w:val="334D0040"/>
    <w:rsid w:val="360E7232"/>
    <w:rsid w:val="3680616A"/>
    <w:rsid w:val="371E09A4"/>
    <w:rsid w:val="378357A8"/>
    <w:rsid w:val="37E402B5"/>
    <w:rsid w:val="3806502D"/>
    <w:rsid w:val="384E07CE"/>
    <w:rsid w:val="38B102CA"/>
    <w:rsid w:val="39325F4C"/>
    <w:rsid w:val="39701AF1"/>
    <w:rsid w:val="39C84D5D"/>
    <w:rsid w:val="3AF4137E"/>
    <w:rsid w:val="3BC204A2"/>
    <w:rsid w:val="3C7E4126"/>
    <w:rsid w:val="3C9A08A7"/>
    <w:rsid w:val="3D3572E0"/>
    <w:rsid w:val="3DC27F15"/>
    <w:rsid w:val="3DD73051"/>
    <w:rsid w:val="3EBD1EA6"/>
    <w:rsid w:val="3F1145B6"/>
    <w:rsid w:val="3F2F4ADD"/>
    <w:rsid w:val="409E68F5"/>
    <w:rsid w:val="40EE6A1F"/>
    <w:rsid w:val="44041C56"/>
    <w:rsid w:val="45927874"/>
    <w:rsid w:val="479927C0"/>
    <w:rsid w:val="481521D7"/>
    <w:rsid w:val="49A709BE"/>
    <w:rsid w:val="49F95701"/>
    <w:rsid w:val="4A424111"/>
    <w:rsid w:val="4AD34EB1"/>
    <w:rsid w:val="4BD9437C"/>
    <w:rsid w:val="4D9353F7"/>
    <w:rsid w:val="4DB04C34"/>
    <w:rsid w:val="4DFC2479"/>
    <w:rsid w:val="4E19649B"/>
    <w:rsid w:val="4E2B198E"/>
    <w:rsid w:val="50366D3B"/>
    <w:rsid w:val="50C42EAC"/>
    <w:rsid w:val="5188593B"/>
    <w:rsid w:val="52335EF7"/>
    <w:rsid w:val="534B0B9D"/>
    <w:rsid w:val="54F613A5"/>
    <w:rsid w:val="55994A3B"/>
    <w:rsid w:val="55C87964"/>
    <w:rsid w:val="56707949"/>
    <w:rsid w:val="56C60E50"/>
    <w:rsid w:val="570B78B5"/>
    <w:rsid w:val="5810603F"/>
    <w:rsid w:val="587018D6"/>
    <w:rsid w:val="59134AF3"/>
    <w:rsid w:val="59CB63E7"/>
    <w:rsid w:val="5E0E0318"/>
    <w:rsid w:val="5EFE5828"/>
    <w:rsid w:val="61106E9A"/>
    <w:rsid w:val="628478EA"/>
    <w:rsid w:val="62B6302E"/>
    <w:rsid w:val="650051B3"/>
    <w:rsid w:val="657D3E85"/>
    <w:rsid w:val="678211A7"/>
    <w:rsid w:val="679027F7"/>
    <w:rsid w:val="68A333E3"/>
    <w:rsid w:val="698845E2"/>
    <w:rsid w:val="69D0467D"/>
    <w:rsid w:val="6B33593B"/>
    <w:rsid w:val="6C8A3D9F"/>
    <w:rsid w:val="6D4E62DC"/>
    <w:rsid w:val="6E133CFA"/>
    <w:rsid w:val="6F7C694F"/>
    <w:rsid w:val="71AF1BCE"/>
    <w:rsid w:val="733266C1"/>
    <w:rsid w:val="76951E5D"/>
    <w:rsid w:val="7824547E"/>
    <w:rsid w:val="79545EF4"/>
    <w:rsid w:val="796219FD"/>
    <w:rsid w:val="798F6A69"/>
    <w:rsid w:val="7CF373EB"/>
    <w:rsid w:val="7DD66C58"/>
    <w:rsid w:val="7E1C1142"/>
    <w:rsid w:val="7E5D4445"/>
    <w:rsid w:val="7EFD3E35"/>
    <w:rsid w:val="7FB0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Calibri" w:hAnsi="Calibri" w:eastAsia="宋体" w:cs="Times New Roman"/>
      <w:szCs w:val="24"/>
    </w:r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7">
    <w:name w:val="annotation subject"/>
    <w:basedOn w:val="2"/>
    <w:next w:val="2"/>
    <w:link w:val="20"/>
    <w:semiHidden/>
    <w:unhideWhenUsed/>
    <w:qFormat/>
    <w:uiPriority w:val="99"/>
    <w:rPr>
      <w:rFonts w:asciiTheme="minorHAnsi" w:hAnsiTheme="minorHAnsi" w:eastAsiaTheme="minorEastAsia" w:cstheme="minorBidi"/>
      <w:b/>
      <w:bCs/>
      <w:szCs w:val="2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qFormat/>
    <w:uiPriority w:val="99"/>
    <w:rPr>
      <w:color w:val="0000FF"/>
      <w:u w:val="single"/>
    </w:rPr>
  </w:style>
  <w:style w:type="character" w:styleId="13">
    <w:name w:val="annotation reference"/>
    <w:qFormat/>
    <w:uiPriority w:val="0"/>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文字 字符"/>
    <w:basedOn w:val="10"/>
    <w:semiHidden/>
    <w:qFormat/>
    <w:uiPriority w:val="99"/>
  </w:style>
  <w:style w:type="character" w:customStyle="1" w:styleId="17">
    <w:name w:val="批注文字 Char"/>
    <w:link w:val="2"/>
    <w:qFormat/>
    <w:uiPriority w:val="0"/>
    <w:rPr>
      <w:rFonts w:ascii="Calibri" w:hAnsi="Calibri" w:eastAsia="宋体" w:cs="Times New Roman"/>
      <w:szCs w:val="24"/>
    </w:rPr>
  </w:style>
  <w:style w:type="character" w:customStyle="1" w:styleId="18">
    <w:name w:val="批注框文本 Char"/>
    <w:basedOn w:val="10"/>
    <w:link w:val="3"/>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主题 Char"/>
    <w:basedOn w:val="17"/>
    <w:link w:val="7"/>
    <w:semiHidden/>
    <w:qFormat/>
    <w:uiPriority w:val="99"/>
    <w:rPr>
      <w:rFonts w:ascii="Calibri" w:hAnsi="Calibri" w:eastAsia="宋体" w:cs="Times New Roman"/>
      <w:b/>
      <w:bCs/>
      <w:szCs w:val="24"/>
    </w:rPr>
  </w:style>
  <w:style w:type="character" w:customStyle="1" w:styleId="21">
    <w:name w:val="标题2-liyr 字符"/>
    <w:link w:val="22"/>
    <w:qFormat/>
    <w:uiPriority w:val="0"/>
    <w:rPr>
      <w:rFonts w:eastAsia="黑体"/>
      <w:color w:val="000000"/>
      <w:sz w:val="32"/>
      <w:szCs w:val="24"/>
      <w:lang w:eastAsia="en-US"/>
    </w:rPr>
  </w:style>
  <w:style w:type="paragraph" w:customStyle="1" w:styleId="22">
    <w:name w:val="标题2-liyr"/>
    <w:basedOn w:val="23"/>
    <w:link w:val="21"/>
    <w:qFormat/>
    <w:uiPriority w:val="0"/>
    <w:pPr>
      <w:spacing w:beforeLines="100" w:afterLines="100"/>
      <w:jc w:val="center"/>
    </w:pPr>
    <w:rPr>
      <w:rFonts w:eastAsia="黑体"/>
      <w:sz w:val="32"/>
    </w:rPr>
  </w:style>
  <w:style w:type="paragraph" w:customStyle="1" w:styleId="23">
    <w:name w:val="正文-liyr"/>
    <w:basedOn w:val="1"/>
    <w:link w:val="26"/>
    <w:qFormat/>
    <w:uiPriority w:val="0"/>
    <w:pPr>
      <w:spacing w:line="360" w:lineRule="exact"/>
      <w:jc w:val="left"/>
    </w:pPr>
    <w:rPr>
      <w:color w:val="000000"/>
      <w:kern w:val="0"/>
      <w:sz w:val="24"/>
      <w:szCs w:val="24"/>
      <w:lang w:eastAsia="en-US"/>
    </w:rPr>
  </w:style>
  <w:style w:type="character" w:customStyle="1" w:styleId="24">
    <w:name w:val="标题3-liyr 字符"/>
    <w:link w:val="25"/>
    <w:qFormat/>
    <w:uiPriority w:val="0"/>
    <w:rPr>
      <w:rFonts w:eastAsia="黑体"/>
      <w:color w:val="000000"/>
      <w:sz w:val="28"/>
      <w:szCs w:val="24"/>
      <w:lang w:eastAsia="en-US"/>
    </w:rPr>
  </w:style>
  <w:style w:type="paragraph" w:customStyle="1" w:styleId="25">
    <w:name w:val="标题3-liyr"/>
    <w:basedOn w:val="1"/>
    <w:link w:val="24"/>
    <w:qFormat/>
    <w:uiPriority w:val="0"/>
    <w:pPr>
      <w:spacing w:beforeLines="100" w:afterLines="100" w:line="440" w:lineRule="exact"/>
      <w:jc w:val="left"/>
    </w:pPr>
    <w:rPr>
      <w:rFonts w:eastAsia="黑体"/>
      <w:color w:val="000000"/>
      <w:kern w:val="0"/>
      <w:sz w:val="28"/>
      <w:szCs w:val="24"/>
      <w:lang w:eastAsia="en-US"/>
    </w:rPr>
  </w:style>
  <w:style w:type="character" w:customStyle="1" w:styleId="26">
    <w:name w:val="正文-liyr 字符"/>
    <w:link w:val="23"/>
    <w:qFormat/>
    <w:uiPriority w:val="0"/>
    <w:rPr>
      <w:color w:val="000000"/>
      <w:sz w:val="24"/>
      <w:szCs w:val="24"/>
      <w:lang w:eastAsia="en-US"/>
    </w:rPr>
  </w:style>
  <w:style w:type="paragraph" w:customStyle="1" w:styleId="27">
    <w:name w:val="xl72"/>
    <w:basedOn w:val="1"/>
    <w:qFormat/>
    <w:uiPriority w:val="0"/>
    <w:pPr>
      <w:widowControl/>
      <w:spacing w:before="100" w:beforeAutospacing="1" w:after="100" w:afterAutospacing="1"/>
      <w:jc w:val="left"/>
      <w:textAlignment w:val="top"/>
    </w:pPr>
    <w:rPr>
      <w:rFonts w:ascii="宋体" w:hAnsi="宋体" w:eastAsia="宋体" w:cs="宋体"/>
      <w:kern w:val="0"/>
      <w:sz w:val="36"/>
      <w:szCs w:val="36"/>
    </w:rPr>
  </w:style>
  <w:style w:type="paragraph" w:customStyle="1" w:styleId="28">
    <w:name w:val="font11"/>
    <w:basedOn w:val="1"/>
    <w:qFormat/>
    <w:uiPriority w:val="0"/>
    <w:pPr>
      <w:widowControl/>
      <w:spacing w:before="100" w:beforeAutospacing="1" w:after="100" w:afterAutospacing="1"/>
      <w:jc w:val="left"/>
    </w:pPr>
    <w:rPr>
      <w:rFonts w:ascii="Calibri" w:hAnsi="Calibri" w:eastAsia="宋体" w:cs="Calibri"/>
      <w:kern w:val="0"/>
      <w:sz w:val="36"/>
      <w:szCs w:val="36"/>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发文稿纸"/>
    <w:basedOn w:val="1"/>
    <w:qFormat/>
    <w:uiPriority w:val="0"/>
    <w:pPr>
      <w:jc w:val="center"/>
    </w:pPr>
    <w:rPr>
      <w:rFonts w:ascii="Times New Roman" w:hAnsi="Times New Roman" w:eastAsia="宋体" w:cs="Times New Roman"/>
      <w:b/>
      <w:bCs/>
      <w:sz w:val="32"/>
      <w:szCs w:val="24"/>
    </w:rPr>
  </w:style>
  <w:style w:type="paragraph" w:customStyle="1" w:styleId="31">
    <w:name w:val="xl68"/>
    <w:basedOn w:val="1"/>
    <w:qFormat/>
    <w:uiPriority w:val="0"/>
    <w:pPr>
      <w:widowControl/>
      <w:shd w:val="clear" w:color="000000" w:fill="00B050"/>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3">
    <w:name w:val="xl70"/>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4">
    <w:name w:val="xl67"/>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24"/>
      <w:szCs w:val="24"/>
    </w:rPr>
  </w:style>
  <w:style w:type="paragraph" w:customStyle="1" w:styleId="35">
    <w:name w:val="xl66"/>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36"/>
      <w:szCs w:val="36"/>
    </w:rPr>
  </w:style>
  <w:style w:type="paragraph" w:customStyle="1" w:styleId="36">
    <w:name w:val="font10"/>
    <w:basedOn w:val="1"/>
    <w:qFormat/>
    <w:uiPriority w:val="0"/>
    <w:pPr>
      <w:widowControl/>
      <w:spacing w:before="100" w:beforeAutospacing="1" w:after="100" w:afterAutospacing="1"/>
      <w:jc w:val="left"/>
    </w:pPr>
    <w:rPr>
      <w:rFonts w:ascii="Arial" w:hAnsi="Arial" w:eastAsia="宋体" w:cs="Arial"/>
      <w:kern w:val="0"/>
      <w:sz w:val="36"/>
      <w:szCs w:val="36"/>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8">
    <w:name w:val="font6"/>
    <w:basedOn w:val="1"/>
    <w:qFormat/>
    <w:uiPriority w:val="0"/>
    <w:pPr>
      <w:widowControl/>
      <w:spacing w:before="100" w:beforeAutospacing="1" w:after="100" w:afterAutospacing="1"/>
      <w:jc w:val="left"/>
    </w:pPr>
    <w:rPr>
      <w:rFonts w:ascii="宋体" w:hAnsi="宋体" w:eastAsia="宋体" w:cs="宋体"/>
      <w:kern w:val="0"/>
      <w:sz w:val="36"/>
      <w:szCs w:val="36"/>
    </w:rPr>
  </w:style>
  <w:style w:type="paragraph" w:customStyle="1" w:styleId="39">
    <w:name w:val="xl73"/>
    <w:basedOn w:val="1"/>
    <w:qFormat/>
    <w:uiPriority w:val="0"/>
    <w:pPr>
      <w:widowControl/>
      <w:spacing w:before="100" w:beforeAutospacing="1" w:after="100" w:afterAutospacing="1"/>
      <w:jc w:val="left"/>
      <w:textAlignment w:val="top"/>
    </w:pPr>
    <w:rPr>
      <w:rFonts w:ascii="宋体" w:hAnsi="宋体" w:eastAsia="宋体" w:cs="宋体"/>
      <w:color w:val="FF0000"/>
      <w:kern w:val="0"/>
      <w:sz w:val="36"/>
      <w:szCs w:val="36"/>
    </w:rPr>
  </w:style>
  <w:style w:type="paragraph" w:customStyle="1" w:styleId="40">
    <w:name w:val="font5"/>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41">
    <w:name w:val="xl74"/>
    <w:basedOn w:val="1"/>
    <w:qFormat/>
    <w:uiPriority w:val="0"/>
    <w:pPr>
      <w:widowControl/>
      <w:spacing w:before="100" w:beforeAutospacing="1" w:after="100" w:afterAutospacing="1"/>
      <w:jc w:val="center"/>
      <w:textAlignment w:val="top"/>
    </w:pPr>
    <w:rPr>
      <w:rFonts w:ascii="宋体" w:hAnsi="宋体" w:eastAsia="宋体" w:cs="宋体"/>
      <w:color w:val="FF0000"/>
      <w:kern w:val="0"/>
      <w:sz w:val="36"/>
      <w:szCs w:val="36"/>
    </w:rPr>
  </w:style>
  <w:style w:type="paragraph" w:customStyle="1" w:styleId="42">
    <w:name w:val="xl71"/>
    <w:basedOn w:val="1"/>
    <w:qFormat/>
    <w:uiPriority w:val="0"/>
    <w:pPr>
      <w:widowControl/>
      <w:spacing w:before="100" w:beforeAutospacing="1" w:after="100" w:afterAutospacing="1"/>
      <w:jc w:val="center"/>
      <w:textAlignment w:val="top"/>
    </w:pPr>
    <w:rPr>
      <w:rFonts w:ascii="宋体" w:hAnsi="宋体" w:eastAsia="宋体" w:cs="宋体"/>
      <w:kern w:val="0"/>
      <w:sz w:val="36"/>
      <w:szCs w:val="36"/>
    </w:rPr>
  </w:style>
  <w:style w:type="paragraph" w:customStyle="1" w:styleId="43">
    <w:name w:val="xl69"/>
    <w:basedOn w:val="1"/>
    <w:qFormat/>
    <w:uiPriority w:val="0"/>
    <w:pPr>
      <w:widowControl/>
      <w:spacing w:before="100" w:beforeAutospacing="1" w:after="100" w:afterAutospacing="1"/>
      <w:jc w:val="center"/>
      <w:textAlignment w:val="top"/>
    </w:pPr>
    <w:rPr>
      <w:rFonts w:ascii="Times New Roman" w:hAnsi="Times New Roman" w:eastAsia="宋体" w:cs="Times New Roman"/>
      <w:kern w:val="0"/>
      <w:sz w:val="36"/>
      <w:szCs w:val="36"/>
    </w:rPr>
  </w:style>
  <w:style w:type="paragraph" w:customStyle="1" w:styleId="44">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36"/>
      <w:szCs w:val="36"/>
    </w:rPr>
  </w:style>
  <w:style w:type="paragraph" w:customStyle="1" w:styleId="45">
    <w:name w:val="xl65"/>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78DC0-09D2-4C0E-9A77-CC1DE0066B42}">
  <ds:schemaRefs/>
</ds:datastoreItem>
</file>

<file path=docProps/app.xml><?xml version="1.0" encoding="utf-8"?>
<Properties xmlns="http://schemas.openxmlformats.org/officeDocument/2006/extended-properties" xmlns:vt="http://schemas.openxmlformats.org/officeDocument/2006/docPropsVTypes">
  <Template>Normal</Template>
  <Pages>1</Pages>
  <Words>3013</Words>
  <Characters>17177</Characters>
  <Lines>143</Lines>
  <Paragraphs>40</Paragraphs>
  <TotalTime>30</TotalTime>
  <ScaleCrop>false</ScaleCrop>
  <LinksUpToDate>false</LinksUpToDate>
  <CharactersWithSpaces>20150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2020-08-12T07:51:00Z</dcterms:created>
  <dc:creator>朱翔华</dc:creator>
  <cp:lastModifiedBy>bx2019</cp:lastModifiedBy>
  <cp:lastPrinted>2020-08-12T09:32:00Z</cp:lastPrinted>
  <dcterms:modified xsi:type="dcterms:W3CDTF">2020-08-12T12:29:10Z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