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firstLine="315" w:firstLineChars="150"/>
        <w:jc w:val="left"/>
        <w:textAlignment w:val="auto"/>
        <w:rPr>
          <w:rFonts w:hint="eastAsia" w:ascii="微软雅黑" w:hAnsi="微软雅黑" w:eastAsia="微软雅黑" w:cs="微软雅黑"/>
          <w:b/>
          <w:color w:val="0070C0"/>
          <w:sz w:val="28"/>
          <w:szCs w:val="28"/>
          <w:lang w:val="en-US" w:eastAsia="zh-CN"/>
        </w:rPr>
      </w:pPr>
      <w:r>
        <w:rPr>
          <w:rFonts w:hint="eastAsia"/>
          <w:lang w:eastAsia="zh-CN"/>
        </w:rPr>
        <w:drawing>
          <wp:anchor distT="0" distB="0" distL="114300" distR="114300" simplePos="0" relativeHeight="251771904" behindDoc="0" locked="0" layoutInCell="1" allowOverlap="1">
            <wp:simplePos x="0" y="0"/>
            <wp:positionH relativeFrom="column">
              <wp:posOffset>2640965</wp:posOffset>
            </wp:positionH>
            <wp:positionV relativeFrom="paragraph">
              <wp:posOffset>-53975</wp:posOffset>
            </wp:positionV>
            <wp:extent cx="2534285" cy="1708150"/>
            <wp:effectExtent l="0" t="0" r="18415" b="6350"/>
            <wp:wrapTopAndBottom/>
            <wp:docPr id="2" name="图片 2" descr="Hydra Probe II 土壤三参数传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ydra Probe II 土壤三参数传感器"/>
                    <pic:cNvPicPr>
                      <a:picLocks noChangeAspect="1"/>
                    </pic:cNvPicPr>
                  </pic:nvPicPr>
                  <pic:blipFill>
                    <a:blip r:embed="rId6"/>
                    <a:stretch>
                      <a:fillRect/>
                    </a:stretch>
                  </pic:blipFill>
                  <pic:spPr>
                    <a:xfrm>
                      <a:off x="0" y="0"/>
                      <a:ext cx="2534285" cy="1708150"/>
                    </a:xfrm>
                    <a:prstGeom prst="rect">
                      <a:avLst/>
                    </a:prstGeom>
                    <a:noFill/>
                    <a:ln>
                      <a:noFill/>
                    </a:ln>
                  </pic:spPr>
                </pic:pic>
              </a:graphicData>
            </a:graphic>
          </wp:anchor>
        </w:drawing>
      </w:r>
      <w:r>
        <w:rPr>
          <w:rFonts w:hint="eastAsia" w:ascii="微软雅黑" w:hAnsi="微软雅黑" w:eastAsia="微软雅黑" w:cs="微软雅黑"/>
          <w:b/>
          <w:color w:val="0070C0"/>
          <w:sz w:val="28"/>
          <w:szCs w:val="28"/>
          <w:lang w:val="en-US" w:eastAsia="zh-CN"/>
        </w:rPr>
        <w:t>HydraProbeII土壤含水量传感器</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firstLine="400" w:firstLineChars="200"/>
        <w:jc w:val="left"/>
        <w:textAlignment w:val="auto"/>
        <w:rPr>
          <w:rFonts w:hint="eastAsia" w:ascii="微软雅黑" w:hAnsi="微软雅黑" w:eastAsia="微软雅黑" w:cs="微软雅黑"/>
          <w:b/>
          <w:bCs/>
          <w:color w:val="0070C0"/>
          <w:sz w:val="20"/>
          <w:szCs w:val="2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firstLine="400" w:firstLineChars="200"/>
        <w:jc w:val="left"/>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HydraProbe</w:t>
      </w:r>
      <w:r>
        <w:rPr>
          <w:rFonts w:hint="default" w:ascii="微软雅黑" w:hAnsi="微软雅黑" w:eastAsia="微软雅黑" w:cs="微软雅黑"/>
          <w:kern w:val="2"/>
          <w:sz w:val="20"/>
          <w:szCs w:val="20"/>
          <w:lang w:val="en-US" w:eastAsia="zh-CN" w:bidi="ar-SA"/>
        </w:rPr>
        <w:t>传感器是一种坚固的土壤传感器，具有专利技术，可以同时连续、一致地测量三个最重要的土壤参数——水分、盐度和温度。作为最具科学研究价值的土壤传感器，美国农业部、国家海洋和大气管理局、农民、领导灌溉公司和许多大学20多年来一直在使用它。 它被设计得非常坚固，年复一年提供你可以信任的数据。</w:t>
      </w:r>
      <w:r>
        <w:rPr>
          <w:rFonts w:hint="eastAsia" w:ascii="微软雅黑" w:hAnsi="微软雅黑" w:eastAsia="微软雅黑" w:cs="微软雅黑"/>
          <w:kern w:val="2"/>
          <w:sz w:val="20"/>
          <w:szCs w:val="20"/>
          <w:lang w:val="en-US" w:eastAsia="zh-CN" w:bidi="ar-SA"/>
        </w:rPr>
        <w:t xml:space="preserve">      HydraProbe</w:t>
      </w:r>
      <w:r>
        <w:rPr>
          <w:rFonts w:hint="default" w:ascii="微软雅黑" w:hAnsi="微软雅黑" w:eastAsia="微软雅黑" w:cs="微软雅黑"/>
          <w:kern w:val="2"/>
          <w:sz w:val="20"/>
          <w:szCs w:val="20"/>
          <w:lang w:val="en-US" w:eastAsia="zh-CN" w:bidi="ar-SA"/>
        </w:rPr>
        <w:t>传感器的“介电阻抗”测量原理不同于电容、电容和频率的</w:t>
      </w:r>
      <w:bookmarkStart w:id="0" w:name="_GoBack"/>
      <w:bookmarkEnd w:id="0"/>
      <w:r>
        <w:rPr>
          <w:rFonts w:hint="default" w:ascii="微软雅黑" w:hAnsi="微软雅黑" w:eastAsia="微软雅黑" w:cs="微软雅黑"/>
          <w:kern w:val="2"/>
          <w:sz w:val="20"/>
          <w:szCs w:val="20"/>
          <w:lang w:val="en-US" w:eastAsia="zh-CN" w:bidi="ar-SA"/>
        </w:rPr>
        <w:t>土壤传感器，因为它使用50兆赫的射频波，考虑了土壤区域的能量储存和能量损失。与其他土壤传感器不同，这种独特的专利方法将能量储存(实际介电常数)和能量损失(虚介电常数)分开。 水力探测器对介电谱的详细数学和信号特征有助于消除土壤潮湿测量中的误差，如温度效应、盐分引起的误差和土壤类型。这种方法已经通过了来自包气带杂志、美国地球物理联盟和美国土壤科学学会杂志等多种期刊的最严格的科学同行评审。</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0"/>
          <w:szCs w:val="20"/>
          <w:lang w:val="en-US" w:eastAsia="zh-CN"/>
        </w:rPr>
      </w:pPr>
      <w:r>
        <w:rPr>
          <w:rFonts w:hint="eastAsia" w:ascii="微软雅黑" w:hAnsi="微软雅黑" w:eastAsia="微软雅黑" w:cs="微软雅黑"/>
          <w:b w:val="0"/>
          <w:bCs w:val="0"/>
          <w:color w:val="0070C0"/>
          <w:sz w:val="20"/>
          <w:szCs w:val="20"/>
          <w:lang w:val="en-US" w:eastAsia="zh-CN"/>
        </w:rPr>
        <w:t>产品规格</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实介电常数</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精度：±</w:t>
      </w:r>
      <w:r>
        <w:rPr>
          <w:rFonts w:hint="default" w:ascii="微软雅黑" w:hAnsi="微软雅黑" w:eastAsia="微软雅黑" w:cs="微软雅黑"/>
          <w:kern w:val="2"/>
          <w:sz w:val="20"/>
          <w:szCs w:val="20"/>
          <w:lang w:val="en-US" w:eastAsia="zh-CN" w:bidi="ar-SA"/>
        </w:rPr>
        <w:t>0.5% 或</w:t>
      </w:r>
      <w:r>
        <w:rPr>
          <w:rFonts w:hint="eastAsia" w:ascii="微软雅黑" w:hAnsi="微软雅黑" w:eastAsia="微软雅黑" w:cs="微软雅黑"/>
          <w:sz w:val="20"/>
          <w:szCs w:val="20"/>
          <w:lang w:val="en-US" w:eastAsia="zh-CN"/>
        </w:rPr>
        <w:t>±</w:t>
      </w:r>
      <w:r>
        <w:rPr>
          <w:rFonts w:hint="default" w:ascii="微软雅黑" w:hAnsi="微软雅黑" w:eastAsia="微软雅黑" w:cs="微软雅黑"/>
          <w:kern w:val="2"/>
          <w:sz w:val="20"/>
          <w:szCs w:val="20"/>
          <w:lang w:val="en-US" w:eastAsia="zh-CN" w:bidi="ar-SA"/>
        </w:rPr>
        <w:t>0.2介质单元</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范围：</w:t>
      </w:r>
      <w:r>
        <w:rPr>
          <w:rFonts w:hint="default" w:ascii="微软雅黑" w:hAnsi="微软雅黑" w:eastAsia="微软雅黑" w:cs="微软雅黑"/>
          <w:kern w:val="2"/>
          <w:sz w:val="20"/>
          <w:szCs w:val="20"/>
          <w:lang w:val="en-US" w:eastAsia="zh-CN" w:bidi="ar-SA"/>
        </w:rPr>
        <w:t>1到80</w:t>
      </w:r>
      <w:r>
        <w:rPr>
          <w:rFonts w:hint="eastAsia" w:ascii="微软雅黑" w:hAnsi="微软雅黑" w:eastAsia="微软雅黑" w:cs="微软雅黑"/>
          <w:kern w:val="2"/>
          <w:sz w:val="20"/>
          <w:szCs w:val="20"/>
          <w:lang w:val="en-US" w:eastAsia="zh-CN" w:bidi="ar-SA"/>
        </w:rPr>
        <w:t>，</w:t>
      </w:r>
      <w:r>
        <w:rPr>
          <w:rFonts w:hint="default" w:ascii="微软雅黑" w:hAnsi="微软雅黑" w:eastAsia="微软雅黑" w:cs="微软雅黑"/>
          <w:kern w:val="2"/>
          <w:sz w:val="20"/>
          <w:szCs w:val="20"/>
          <w:lang w:val="en-US" w:eastAsia="zh-CN" w:bidi="ar-SA"/>
        </w:rPr>
        <w:t>其中1空气80蒸馏水</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分辨率：0.001</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default" w:ascii="微软雅黑" w:hAnsi="微软雅黑" w:eastAsia="微软雅黑" w:cs="微软雅黑"/>
          <w:sz w:val="20"/>
          <w:szCs w:val="20"/>
          <w:lang w:val="en-US" w:eastAsia="zh-CN"/>
        </w:rPr>
      </w:pPr>
      <w:r>
        <w:rPr>
          <w:rFonts w:hint="default" w:ascii="微软雅黑" w:hAnsi="微软雅黑" w:eastAsia="微软雅黑" w:cs="微软雅黑"/>
          <w:sz w:val="20"/>
          <w:szCs w:val="20"/>
          <w:lang w:val="en-US" w:eastAsia="zh-CN"/>
        </w:rPr>
        <w:t>无机矿物土壤水分</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精度：</w:t>
      </w:r>
      <w:r>
        <w:rPr>
          <w:rFonts w:hint="default" w:ascii="微软雅黑" w:hAnsi="微软雅黑" w:eastAsia="微软雅黑" w:cs="微软雅黑"/>
          <w:kern w:val="2"/>
          <w:sz w:val="20"/>
          <w:szCs w:val="20"/>
          <w:lang w:val="en-US" w:eastAsia="zh-CN" w:bidi="ar-SA"/>
        </w:rPr>
        <w:t xml:space="preserve">± 0.01 WFV </w:t>
      </w:r>
      <w:r>
        <w:rPr>
          <w:rFonts w:hint="eastAsia" w:ascii="微软雅黑" w:hAnsi="微软雅黑" w:eastAsia="微软雅黑" w:cs="微软雅黑"/>
          <w:kern w:val="2"/>
          <w:sz w:val="20"/>
          <w:szCs w:val="20"/>
          <w:lang w:val="en-US" w:eastAsia="zh-CN" w:bidi="ar-SA"/>
        </w:rPr>
        <w:t>大部分土壤；± ≤0.03细质土壤</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范围：</w:t>
      </w:r>
      <w:r>
        <w:rPr>
          <w:rFonts w:hint="eastAsia" w:ascii="微软雅黑" w:hAnsi="微软雅黑" w:eastAsia="微软雅黑" w:cs="微软雅黑"/>
          <w:kern w:val="2"/>
          <w:sz w:val="20"/>
          <w:szCs w:val="20"/>
          <w:lang w:val="en-US" w:eastAsia="zh-CN" w:bidi="ar-SA"/>
        </w:rPr>
        <w:t>从完全干燥到完全饱和(从0% 到100% 饱和)</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分辨率：0.001</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体积电导率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精度：</w:t>
      </w:r>
      <w:r>
        <w:rPr>
          <w:rFonts w:hint="default" w:ascii="微软雅黑" w:hAnsi="微软雅黑" w:eastAsia="微软雅黑" w:cs="微软雅黑"/>
          <w:kern w:val="2"/>
          <w:sz w:val="20"/>
          <w:szCs w:val="20"/>
          <w:lang w:val="en-US" w:eastAsia="zh-CN" w:bidi="ar-SA"/>
        </w:rPr>
        <w:t>±</w:t>
      </w:r>
      <w:r>
        <w:rPr>
          <w:rFonts w:hint="eastAsia" w:ascii="微软雅黑" w:hAnsi="微软雅黑" w:eastAsia="微软雅黑" w:cs="微软雅黑"/>
          <w:kern w:val="2"/>
          <w:sz w:val="20"/>
          <w:szCs w:val="20"/>
          <w:lang w:val="en-US" w:eastAsia="zh-CN" w:bidi="ar-SA"/>
        </w:rPr>
        <w:t>2.0% 或0.02 s / m，两者以较高者为准</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范围：</w:t>
      </w:r>
      <w:r>
        <w:rPr>
          <w:rFonts w:hint="eastAsia" w:ascii="微软雅黑" w:hAnsi="微软雅黑" w:eastAsia="微软雅黑" w:cs="微软雅黑"/>
          <w:kern w:val="2"/>
          <w:sz w:val="20"/>
          <w:szCs w:val="20"/>
          <w:lang w:val="en-US" w:eastAsia="zh-CN" w:bidi="ar-SA"/>
        </w:rPr>
        <w:t>0 to 1.5 S/m</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分辨率：0.001</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温度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精度：± 0.3° C</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范围：-10°C to +60° C</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分辨率：0.1°C</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供电与通讯</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default"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SDI-12</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电源：9-20 VDC</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功率消耗:1mA 空闲 / 10mA 工作</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线缆：三线: 电力，地面，数据</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最大线缆长度：60m</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波特率：1200</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通信协议：SDI-12</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default"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lang w:val="en-US" w:eastAsia="zh-CN"/>
        </w:rPr>
        <w:t>RS485</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电源：9-20 VDC</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功率消耗:10mA 空闲 / 30mA 工作</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线缆：4线：电源、地面、com+, com-</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最大线缆长度：1219m</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波特率：9600</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通信协议：定制或开放规格</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操作温度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399" w:leftChars="190"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标准温度探头范围：</w:t>
      </w:r>
      <w:r>
        <w:rPr>
          <w:rFonts w:hint="eastAsia" w:ascii="微软雅黑" w:hAnsi="微软雅黑" w:eastAsia="微软雅黑" w:cs="微软雅黑"/>
          <w:sz w:val="20"/>
          <w:szCs w:val="20"/>
          <w:lang w:val="en-US" w:eastAsia="zh-CN"/>
        </w:rPr>
        <w:br w:type="textWrapping"/>
      </w:r>
      <w:r>
        <w:rPr>
          <w:rFonts w:hint="eastAsia" w:ascii="微软雅黑" w:hAnsi="微软雅黑" w:eastAsia="微软雅黑" w:cs="微软雅黑"/>
          <w:sz w:val="20"/>
          <w:szCs w:val="20"/>
          <w:lang w:val="en-US" w:eastAsia="zh-CN"/>
        </w:rPr>
        <w:t>-10°c至60°c</w:t>
      </w:r>
      <w:r>
        <w:rPr>
          <w:rFonts w:hint="eastAsia" w:ascii="微软雅黑" w:hAnsi="微软雅黑" w:eastAsia="微软雅黑" w:cs="微软雅黑"/>
          <w:sz w:val="20"/>
          <w:szCs w:val="20"/>
          <w:lang w:val="en-US" w:eastAsia="zh-CN"/>
        </w:rPr>
        <w:br w:type="textWrapping"/>
      </w:r>
      <w:r>
        <w:rPr>
          <w:rFonts w:hint="eastAsia" w:ascii="微软雅黑" w:hAnsi="微软雅黑" w:eastAsia="微软雅黑" w:cs="微软雅黑"/>
          <w:sz w:val="20"/>
          <w:szCs w:val="20"/>
          <w:lang w:val="en-US" w:eastAsia="zh-CN"/>
        </w:rPr>
        <w:t>Y标准延长温度</w:t>
      </w:r>
      <w:r>
        <w:rPr>
          <w:rFonts w:hint="eastAsia" w:ascii="微软雅黑" w:hAnsi="微软雅黑" w:eastAsia="微软雅黑" w:cs="微软雅黑"/>
          <w:sz w:val="20"/>
          <w:szCs w:val="20"/>
          <w:lang w:val="en-US" w:eastAsia="zh-CN"/>
        </w:rPr>
        <w:br w:type="textWrapping"/>
      </w:r>
      <w:r>
        <w:rPr>
          <w:rFonts w:hint="eastAsia" w:ascii="微软雅黑" w:hAnsi="微软雅黑" w:eastAsia="微软雅黑" w:cs="微软雅黑"/>
          <w:sz w:val="20"/>
          <w:szCs w:val="20"/>
          <w:lang w:val="en-US" w:eastAsia="zh-CN"/>
        </w:rPr>
        <w:t>探测范围：-30°c到60°c</w:t>
      </w:r>
      <w:r>
        <w:rPr>
          <w:rFonts w:hint="eastAsia" w:ascii="微软雅黑" w:hAnsi="微软雅黑" w:eastAsia="微软雅黑" w:cs="微软雅黑"/>
          <w:sz w:val="20"/>
          <w:szCs w:val="20"/>
          <w:lang w:val="en-US" w:eastAsia="zh-CN"/>
        </w:rPr>
        <w:br w:type="textWrapping"/>
      </w:r>
      <w:r>
        <w:rPr>
          <w:rFonts w:hint="eastAsia" w:ascii="微软雅黑" w:hAnsi="微软雅黑" w:eastAsia="微软雅黑" w:cs="微软雅黑"/>
          <w:sz w:val="20"/>
          <w:szCs w:val="20"/>
          <w:lang w:val="en-US" w:eastAsia="zh-CN"/>
        </w:rPr>
        <w:t>Y额外扩展温度探针</w:t>
      </w:r>
      <w:r>
        <w:rPr>
          <w:rFonts w:hint="eastAsia" w:ascii="微软雅黑" w:hAnsi="微软雅黑" w:eastAsia="微软雅黑" w:cs="微软雅黑"/>
          <w:sz w:val="20"/>
          <w:szCs w:val="20"/>
          <w:lang w:val="en-US" w:eastAsia="zh-CN"/>
        </w:rPr>
        <w:br w:type="textWrapping"/>
      </w:r>
      <w:r>
        <w:rPr>
          <w:rFonts w:hint="eastAsia" w:ascii="微软雅黑" w:hAnsi="微软雅黑" w:eastAsia="微软雅黑" w:cs="微软雅黑"/>
          <w:sz w:val="20"/>
          <w:szCs w:val="20"/>
          <w:lang w:val="en-US" w:eastAsia="zh-CN"/>
        </w:rPr>
        <w:t>范围：-40°C至65°C</w:t>
      </w:r>
    </w:p>
    <w:p>
      <w:pPr>
        <w:keepNext w:val="0"/>
        <w:keepLines w:val="0"/>
        <w:pageBreakBefore w:val="0"/>
        <w:widowControl/>
        <w:numPr>
          <w:ilvl w:val="0"/>
          <w:numId w:val="1"/>
        </w:numPr>
        <w:kinsoku/>
        <w:wordWrap/>
        <w:overflowPunct/>
        <w:topLinePunct w:val="0"/>
        <w:autoSpaceDE/>
        <w:autoSpaceDN/>
        <w:bidi w:val="0"/>
        <w:adjustRightInd/>
        <w:snapToGrid/>
        <w:spacing w:line="360" w:lineRule="exact"/>
        <w:ind w:left="0" w:leftChars="0" w:firstLine="400" w:firstLineChars="20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存储温度：</w:t>
      </w:r>
      <w:r>
        <w:rPr>
          <w:rFonts w:hint="eastAsia" w:ascii="微软雅黑" w:hAnsi="微软雅黑" w:eastAsia="微软雅黑" w:cs="微软雅黑"/>
          <w:sz w:val="20"/>
          <w:szCs w:val="20"/>
          <w:lang w:val="en-US" w:eastAsia="zh-CN"/>
        </w:rPr>
        <w:t>-40°C至65°C</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jc w:val="left"/>
        <w:textAlignment w:val="auto"/>
        <w:rPr>
          <w:rFonts w:hint="eastAsia" w:ascii="微软雅黑" w:hAnsi="微软雅黑" w:eastAsia="微软雅黑" w:cs="微软雅黑"/>
          <w:kern w:val="2"/>
          <w:sz w:val="20"/>
          <w:szCs w:val="20"/>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399" w:leftChars="190" w:firstLine="0" w:firstLineChars="0"/>
        <w:jc w:val="left"/>
        <w:textAlignment w:val="auto"/>
        <w:rPr>
          <w:rFonts w:hint="eastAsia" w:ascii="微软雅黑" w:hAnsi="微软雅黑" w:eastAsia="微软雅黑" w:cs="微软雅黑"/>
          <w:sz w:val="20"/>
          <w:szCs w:val="2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399" w:leftChars="190" w:firstLine="0" w:firstLineChars="0"/>
        <w:jc w:val="left"/>
        <w:textAlignment w:val="auto"/>
        <w:rPr>
          <w:rFonts w:hint="eastAsia" w:ascii="微软雅黑" w:hAnsi="微软雅黑" w:eastAsia="微软雅黑" w:cs="微软雅黑"/>
          <w:sz w:val="20"/>
          <w:szCs w:val="2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firstLine="400" w:firstLineChars="200"/>
        <w:jc w:val="left"/>
        <w:textAlignment w:val="auto"/>
        <w:rPr>
          <w:rFonts w:hint="default" w:ascii="微软雅黑" w:hAnsi="微软雅黑" w:eastAsia="微软雅黑" w:cs="微软雅黑"/>
          <w:sz w:val="20"/>
          <w:szCs w:val="2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sz w:val="20"/>
          <w:szCs w:val="2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00" w:firstLineChars="200"/>
        <w:jc w:val="left"/>
        <w:textAlignment w:val="auto"/>
        <w:rPr>
          <w:rFonts w:hint="default" w:ascii="微软雅黑" w:hAnsi="微软雅黑" w:eastAsia="微软雅黑" w:cs="微软雅黑"/>
          <w:sz w:val="20"/>
          <w:szCs w:val="20"/>
          <w:lang w:val="en-US" w:eastAsia="zh-CN"/>
        </w:rPr>
      </w:pPr>
    </w:p>
    <w:sectPr>
      <w:headerReference r:id="rId3" w:type="default"/>
      <w:footerReference r:id="rId4" w:type="default"/>
      <w:pgSz w:w="11906" w:h="16838"/>
      <w:pgMar w:top="1701" w:right="1797" w:bottom="1985"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0" locked="0" layoutInCell="1" allowOverlap="1">
          <wp:simplePos x="0" y="0"/>
          <wp:positionH relativeFrom="page">
            <wp:posOffset>-38100</wp:posOffset>
          </wp:positionH>
          <wp:positionV relativeFrom="paragraph">
            <wp:posOffset>-270510</wp:posOffset>
          </wp:positionV>
          <wp:extent cx="7712075" cy="1104265"/>
          <wp:effectExtent l="0" t="0" r="3175" b="6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12075" cy="1104265"/>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0" locked="0" layoutInCell="1" allowOverlap="1">
          <wp:simplePos x="0" y="0"/>
          <wp:positionH relativeFrom="page">
            <wp:posOffset>-252095</wp:posOffset>
          </wp:positionH>
          <wp:positionV relativeFrom="paragraph">
            <wp:posOffset>-554355</wp:posOffset>
          </wp:positionV>
          <wp:extent cx="7843520" cy="933450"/>
          <wp:effectExtent l="0" t="0" r="5080" b="6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43704" cy="93327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58F24D"/>
    <w:multiLevelType w:val="singleLevel"/>
    <w:tmpl w:val="4858F24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90108"/>
    <w:rsid w:val="00172975"/>
    <w:rsid w:val="00290108"/>
    <w:rsid w:val="002B136F"/>
    <w:rsid w:val="0036539B"/>
    <w:rsid w:val="0042643E"/>
    <w:rsid w:val="00531EC9"/>
    <w:rsid w:val="00730259"/>
    <w:rsid w:val="00C63114"/>
    <w:rsid w:val="00E8038B"/>
    <w:rsid w:val="00ED4CD6"/>
    <w:rsid w:val="0267757A"/>
    <w:rsid w:val="036830F1"/>
    <w:rsid w:val="05C46530"/>
    <w:rsid w:val="05C96CA8"/>
    <w:rsid w:val="091D3400"/>
    <w:rsid w:val="0AD51955"/>
    <w:rsid w:val="0BFD609C"/>
    <w:rsid w:val="0CF55FAE"/>
    <w:rsid w:val="0D277BCB"/>
    <w:rsid w:val="0D604EB6"/>
    <w:rsid w:val="0F606193"/>
    <w:rsid w:val="10232A98"/>
    <w:rsid w:val="17CF22D8"/>
    <w:rsid w:val="187E3DCC"/>
    <w:rsid w:val="1B4B150A"/>
    <w:rsid w:val="1DB866CA"/>
    <w:rsid w:val="202D73B8"/>
    <w:rsid w:val="24C33941"/>
    <w:rsid w:val="26644040"/>
    <w:rsid w:val="2B9410EF"/>
    <w:rsid w:val="2BB348E6"/>
    <w:rsid w:val="2D136D2B"/>
    <w:rsid w:val="2E1C62FD"/>
    <w:rsid w:val="2EC3533A"/>
    <w:rsid w:val="320F4035"/>
    <w:rsid w:val="32841E88"/>
    <w:rsid w:val="33E33CD5"/>
    <w:rsid w:val="392E2379"/>
    <w:rsid w:val="39D44469"/>
    <w:rsid w:val="3F0F7301"/>
    <w:rsid w:val="3F58383E"/>
    <w:rsid w:val="41CB1A69"/>
    <w:rsid w:val="45720C84"/>
    <w:rsid w:val="45781606"/>
    <w:rsid w:val="485204FE"/>
    <w:rsid w:val="50EB2940"/>
    <w:rsid w:val="5142765B"/>
    <w:rsid w:val="51866AF6"/>
    <w:rsid w:val="56FE379F"/>
    <w:rsid w:val="5B151F57"/>
    <w:rsid w:val="5BD94C1B"/>
    <w:rsid w:val="5E730534"/>
    <w:rsid w:val="5F8764C0"/>
    <w:rsid w:val="60C63B84"/>
    <w:rsid w:val="61462BC5"/>
    <w:rsid w:val="619E20CF"/>
    <w:rsid w:val="644F2CB3"/>
    <w:rsid w:val="66085008"/>
    <w:rsid w:val="67E93377"/>
    <w:rsid w:val="68BB1949"/>
    <w:rsid w:val="6A830F36"/>
    <w:rsid w:val="70B061B0"/>
    <w:rsid w:val="71A47A92"/>
    <w:rsid w:val="72950A18"/>
    <w:rsid w:val="733266A1"/>
    <w:rsid w:val="738D5EBE"/>
    <w:rsid w:val="73BC6F40"/>
    <w:rsid w:val="755E7850"/>
    <w:rsid w:val="76170C44"/>
    <w:rsid w:val="76A359B4"/>
    <w:rsid w:val="77A5749F"/>
    <w:rsid w:val="785E6017"/>
    <w:rsid w:val="78A01355"/>
    <w:rsid w:val="79AD3802"/>
    <w:rsid w:val="79C96C23"/>
    <w:rsid w:val="7A4224B6"/>
    <w:rsid w:val="7AE06395"/>
    <w:rsid w:val="7B573075"/>
    <w:rsid w:val="7D820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jc w:val="left"/>
      <w:outlineLvl w:val="0"/>
    </w:pPr>
    <w:rPr>
      <w:rFonts w:ascii="微软雅黑" w:hAnsi="微软雅黑" w:eastAsia="微软雅黑" w:cs="Times New Roman"/>
      <w:color w:val="0188DE"/>
      <w:kern w:val="44"/>
      <w:sz w:val="66"/>
      <w:szCs w:val="66"/>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4"/>
    <w:basedOn w:val="1"/>
    <w:next w:val="1"/>
    <w:semiHidden/>
    <w:unhideWhenUsed/>
    <w:qFormat/>
    <w:uiPriority w:val="9"/>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jc w:val="left"/>
    </w:pPr>
    <w:rPr>
      <w:rFonts w:cs="Times New Roman"/>
      <w:kern w:val="0"/>
      <w:sz w:val="24"/>
    </w:rPr>
  </w:style>
  <w:style w:type="character" w:styleId="11">
    <w:name w:val="Strong"/>
    <w:basedOn w:val="10"/>
    <w:qFormat/>
    <w:uiPriority w:val="22"/>
    <w:rPr>
      <w:b/>
    </w:rPr>
  </w:style>
  <w:style w:type="character" w:styleId="12">
    <w:name w:val="FollowedHyperlink"/>
    <w:basedOn w:val="10"/>
    <w:semiHidden/>
    <w:unhideWhenUsed/>
    <w:qFormat/>
    <w:uiPriority w:val="99"/>
    <w:rPr>
      <w:color w:val="1064A0"/>
      <w:u w:val="none"/>
    </w:rPr>
  </w:style>
  <w:style w:type="character" w:styleId="13">
    <w:name w:val="Emphasis"/>
    <w:basedOn w:val="10"/>
    <w:qFormat/>
    <w:uiPriority w:val="20"/>
  </w:style>
  <w:style w:type="character" w:styleId="14">
    <w:name w:val="Hyperlink"/>
    <w:basedOn w:val="10"/>
    <w:semiHidden/>
    <w:unhideWhenUsed/>
    <w:qFormat/>
    <w:uiPriority w:val="99"/>
    <w:rPr>
      <w:color w:val="1064A0"/>
      <w:u w:val="none"/>
    </w:rPr>
  </w:style>
  <w:style w:type="character" w:customStyle="1" w:styleId="15">
    <w:name w:val="页眉 Char"/>
    <w:basedOn w:val="10"/>
    <w:link w:val="7"/>
    <w:qFormat/>
    <w:uiPriority w:val="99"/>
    <w:rPr>
      <w:sz w:val="18"/>
      <w:szCs w:val="18"/>
    </w:rPr>
  </w:style>
  <w:style w:type="character" w:customStyle="1" w:styleId="16">
    <w:name w:val="页脚 Char"/>
    <w:basedOn w:val="10"/>
    <w:link w:val="6"/>
    <w:qFormat/>
    <w:uiPriority w:val="99"/>
    <w:rPr>
      <w:sz w:val="18"/>
      <w:szCs w:val="18"/>
    </w:rPr>
  </w:style>
  <w:style w:type="character" w:customStyle="1" w:styleId="17">
    <w:name w:val="批注框文本 Char"/>
    <w:basedOn w:val="10"/>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1274</Words>
  <Characters>7264</Characters>
  <Lines>60</Lines>
  <Paragraphs>17</Paragraphs>
  <TotalTime>0</TotalTime>
  <ScaleCrop>false</ScaleCrop>
  <LinksUpToDate>false</LinksUpToDate>
  <CharactersWithSpaces>8521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2019-01-15T03:14:00Z</dcterms:created>
  <dc:creator>lidan</dc:creator>
  <cp:lastModifiedBy>Administrator</cp:lastModifiedBy>
  <dcterms:modified xsi:type="dcterms:W3CDTF">2020-02-12T07:45:18Z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KSORubyTemplateID" linkTarget="0">
    <vt:lpwstr>6</vt:lpwstr>
  </property>
</Properties>
</file>