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3366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3366"/>
          <w:spacing w:val="0"/>
          <w:shd w:val="clear" w:fill="FFFFFF"/>
        </w:rPr>
        <w:t>英国离子PCT-CNG军事毒剂检测仪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eastAsia" w:ascii="宋体" w:hAnsi="宋体" w:eastAsia="宋体" w:cs="宋体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15"/>
          <w:szCs w:val="15"/>
          <w:shd w:val="clear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15240</wp:posOffset>
            </wp:positionV>
            <wp:extent cx="2857500" cy="2476500"/>
            <wp:effectExtent l="0" t="0" r="7620" b="7620"/>
            <wp:wrapTight wrapText="bothSides">
              <wp:wrapPolygon>
                <wp:start x="0" y="0"/>
                <wp:lineTo x="0" y="21534"/>
                <wp:lineTo x="21542" y="21534"/>
                <wp:lineTo x="21542" y="0"/>
                <wp:lineTo x="0" y="0"/>
              </wp:wrapPolygon>
            </wp:wrapTight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15"/>
          <w:szCs w:val="15"/>
          <w:shd w:val="clear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274320</wp:posOffset>
            </wp:positionV>
            <wp:extent cx="2857500" cy="2476500"/>
            <wp:effectExtent l="0" t="0" r="7620" b="7620"/>
            <wp:wrapTight wrapText="bothSides">
              <wp:wrapPolygon>
                <wp:start x="0" y="0"/>
                <wp:lineTo x="0" y="21534"/>
                <wp:lineTo x="21542" y="21534"/>
                <wp:lineTo x="21542" y="0"/>
                <wp:lineTo x="0" y="0"/>
              </wp:wrapPolygon>
            </wp:wrapTight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0" w:right="0"/>
        <w:rPr>
          <w:rFonts w:hint="eastAsia" w:ascii="宋体" w:hAnsi="宋体" w:eastAsia="宋体" w:cs="宋体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0" w:right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15"/>
          <w:szCs w:val="15"/>
          <w:shd w:val="clear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45720</wp:posOffset>
            </wp:positionV>
            <wp:extent cx="2857500" cy="2476500"/>
            <wp:effectExtent l="0" t="0" r="7620" b="7620"/>
            <wp:wrapTight wrapText="bothSides">
              <wp:wrapPolygon>
                <wp:start x="0" y="0"/>
                <wp:lineTo x="0" y="21534"/>
                <wp:lineTo x="21542" y="21534"/>
                <wp:lineTo x="21542" y="0"/>
                <wp:lineTo x="0" y="0"/>
              </wp:wrapPolygon>
            </wp:wrapTight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eastAsia" w:ascii="宋体" w:hAnsi="宋体" w:eastAsia="宋体" w:cs="宋体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21"/>
          <w:szCs w:val="21"/>
          <w:shd w:val="clear" w:fill="FFFFFF"/>
        </w:rPr>
        <w:t>产品概述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20" w:right="240" w:firstLine="0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Cub – 个人防护型PID监测器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有效的小巧，轻便个人防护型PID监测器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检测量程：1ppb-5000ppm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简单的一键操作，LCD大屏幕清晰显示读数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清晰的声光及振动报警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通过ATEX, IECEx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21"/>
          <w:szCs w:val="21"/>
          <w:shd w:val="clear" w:fill="FFFFFF"/>
        </w:rPr>
        <w:t>产品优点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20" w:right="240" w:firstLine="0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 格栅电极技术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 对特定挥发性有机气体（VOC’s）的动态检测量程1ppb~20,000ppm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 内置WMD化学战剂气体校正系数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 超大量程检测，3点校准，确保高低浓度读数精确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 具有健康安全模式（STE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&amp;TWA) 及数据储存功能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 容易更换的迷你PID 检测器，电极堆和灯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 更易使用和更直观, 与电脑连接无需复杂的安装程序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 电池使用时间可达24小时, 并可在危险区域内更换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 通过ATEX, IECEx 和CU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认证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 坚固的保护设计，可拆卸的橡胶外套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 响亮的95 dBA报警声，明亮的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ED 闪灯和振动报警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21"/>
          <w:szCs w:val="21"/>
          <w:shd w:val="clear" w:fill="FFFFFF"/>
        </w:rPr>
        <w:t>产品的详细概述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PCT-CNG军用版气体检测仪 </w:t>
      </w:r>
      <w:r>
        <w:rPr>
          <w:rStyle w:val="9"/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WMD化学战剂气体包括：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</w:t>
      </w:r>
    </w:p>
    <w:tbl>
      <w:tblPr>
        <w:tblStyle w:val="7"/>
        <w:tblW w:w="7176" w:type="dxa"/>
        <w:tblCellSpacing w:w="15" w:type="dxa"/>
        <w:tblInd w:w="-10" w:type="dxa"/>
        <w:tblBorders>
          <w:top w:val="single" w:color="666666" w:sz="4" w:space="0"/>
          <w:left w:val="single" w:color="666666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0"/>
        <w:gridCol w:w="166"/>
        <w:gridCol w:w="3230"/>
      </w:tblGrid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828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PhoCheck Tiger (PCT – CNG)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4" w:type="dxa"/>
            <w:vMerge w:val="restart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3252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Cub（CPM – 201CN）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828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量程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1ppb-20000ppm或mg/m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4" w:type="dxa"/>
            <w:vMerge w:val="continue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3252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量程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1ppb-5000ppm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828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分辨率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1ppb </w:t>
            </w:r>
          </w:p>
        </w:tc>
        <w:tc>
          <w:tcPr>
            <w:tcW w:w="84" w:type="dxa"/>
            <w:vMerge w:val="continue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3252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分辨率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1ppb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828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精确度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±5% </w:t>
            </w:r>
          </w:p>
        </w:tc>
        <w:tc>
          <w:tcPr>
            <w:tcW w:w="84" w:type="dxa"/>
            <w:vMerge w:val="continue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3252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精确度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±5%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828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响应时间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&lt; 2 秒（T90） </w:t>
            </w:r>
          </w:p>
        </w:tc>
        <w:tc>
          <w:tcPr>
            <w:tcW w:w="84" w:type="dxa"/>
            <w:vMerge w:val="continue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3252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响应时间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&lt;13 秒（T90）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828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本质安全认证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ATEX II 2G Ex ia IIC T4 (- 15℃ ≤Ta ≤+60℃), IECEx and CUL </w:t>
            </w:r>
          </w:p>
        </w:tc>
        <w:tc>
          <w:tcPr>
            <w:tcW w:w="84" w:type="dxa"/>
            <w:vMerge w:val="continue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3252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本质安全认证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ATEX:CE,Ex II 1G,Ex ia IICT4;-20℃≤Ta≤55℃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IECEx：Ex ia IIC T4; -20℃≤Ta≤55℃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828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电池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长达24小时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充电6.5小时 </w:t>
            </w:r>
          </w:p>
        </w:tc>
        <w:tc>
          <w:tcPr>
            <w:tcW w:w="84" w:type="dxa"/>
            <w:vMerge w:val="continue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3252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电池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长达16小时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充电3小时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828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PID灯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10.6eV </w:t>
            </w:r>
          </w:p>
        </w:tc>
        <w:tc>
          <w:tcPr>
            <w:tcW w:w="84" w:type="dxa"/>
            <w:vMerge w:val="continue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3252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PID灯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10.6eV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828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数据存储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&gt; 120,000 </w:t>
            </w:r>
          </w:p>
        </w:tc>
        <w:tc>
          <w:tcPr>
            <w:tcW w:w="84" w:type="dxa"/>
            <w:vMerge w:val="continue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3252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LCD显示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彩色背景灯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828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通讯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USB 1.1 </w:t>
            </w:r>
          </w:p>
        </w:tc>
        <w:tc>
          <w:tcPr>
            <w:tcW w:w="84" w:type="dxa"/>
            <w:vMerge w:val="continue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3252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通讯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USB 2.0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828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报警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LEDs，声音和振动，声响95dB </w:t>
            </w:r>
          </w:p>
        </w:tc>
        <w:tc>
          <w:tcPr>
            <w:tcW w:w="84" w:type="dxa"/>
            <w:vMerge w:val="continue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3252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报警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LEDs，声音和振动，声响95dB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828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温度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操作温度：-20~60℃，-4~140℉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湿度：0~99%（无冷凝） </w:t>
            </w:r>
          </w:p>
        </w:tc>
        <w:tc>
          <w:tcPr>
            <w:tcW w:w="84" w:type="dxa"/>
            <w:vMerge w:val="continue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3252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温度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操作温度：-20℃~55℃，-4℉~131℉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828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重量及尺寸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0.72kg （25oz）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420×320×97mm（16.5×12.5×3.8”） </w:t>
            </w:r>
          </w:p>
        </w:tc>
        <w:tc>
          <w:tcPr>
            <w:tcW w:w="84" w:type="dxa"/>
            <w:vMerge w:val="continue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3252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重量及尺寸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111g （3.91 oz）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61×66×33mm（2.4×2.6×2.2'）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828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IP等级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IP65 </w:t>
            </w:r>
          </w:p>
        </w:tc>
        <w:tc>
          <w:tcPr>
            <w:tcW w:w="84" w:type="dxa"/>
            <w:vMerge w:val="continue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3252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IP等级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IP65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828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流量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220ml/min </w:t>
            </w:r>
          </w:p>
        </w:tc>
        <w:tc>
          <w:tcPr>
            <w:tcW w:w="84" w:type="dxa"/>
            <w:vMerge w:val="continue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3252" w:type="dxa"/>
            <w:tcBorders>
              <w:top w:val="outset" w:color="auto" w:sz="0" w:space="0"/>
              <w:left w:val="outset" w:color="auto" w:sz="0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流量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lang w:val="en-US" w:eastAsia="zh-CN" w:bidi="ar"/>
              </w:rPr>
              <w:t>N/A （无泵） </w:t>
            </w:r>
          </w:p>
        </w:tc>
      </w:tr>
    </w:tbl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4" name="图片 4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E696B"/>
    <w:rsid w:val="0D1E696B"/>
    <w:rsid w:val="2CEA683B"/>
    <w:rsid w:val="75F56A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2019-12-24T07:04:00Z</dcterms:created>
  <dc:creator>路博赵丽15589812373</dc:creator>
  <cp:lastModifiedBy>Administrator</cp:lastModifiedBy>
  <dcterms:modified xsi:type="dcterms:W3CDTF">2020-08-25T01:57:14Z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