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微软雅黑" w:hAnsi="微软雅黑" w:eastAsia="微软雅黑" w:cs="微软雅黑"/>
          <w:b/>
          <w:bCs/>
          <w:color w:val="1D4686"/>
          <w:sz w:val="40"/>
          <w:szCs w:val="48"/>
          <w:lang w:val="en-US" w:eastAsia="zh-CN"/>
        </w:rPr>
      </w:pPr>
      <w:r>
        <w:rPr>
          <w:rFonts w:hint="eastAsia" w:eastAsia="宋体"/>
          <w:b/>
          <w:bCs/>
          <w:color w:val="1D0A86"/>
          <w:sz w:val="40"/>
          <w:szCs w:val="4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214630</wp:posOffset>
            </wp:positionV>
            <wp:extent cx="2152015" cy="3396615"/>
            <wp:effectExtent l="0" t="0" r="0" b="0"/>
            <wp:wrapSquare wrapText="bothSides"/>
            <wp:docPr id="1" name="图片 1" descr="余氯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余氯800"/>
                    <pic:cNvPicPr>
                      <a:picLocks noChangeAspect="1"/>
                    </pic:cNvPicPr>
                  </pic:nvPicPr>
                  <pic:blipFill>
                    <a:blip r:embed="rId6"/>
                    <a:srcRect l="19200" r="17442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1D4686"/>
          <w:sz w:val="40"/>
          <w:szCs w:val="48"/>
          <w:lang w:val="en-US" w:eastAsia="zh-CN"/>
        </w:rPr>
        <w:t>G928型</w:t>
      </w:r>
    </w:p>
    <w:p>
      <w:pPr>
        <w:pStyle w:val="2"/>
        <w:rPr>
          <w:rFonts w:hint="eastAsia" w:ascii="微软雅黑" w:hAnsi="微软雅黑" w:eastAsia="微软雅黑" w:cs="微软雅黑"/>
          <w:b/>
          <w:bCs/>
          <w:color w:val="1D4686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40"/>
          <w:szCs w:val="48"/>
          <w:lang w:val="en-US" w:eastAsia="zh-CN"/>
        </w:rPr>
        <w:t>余氯总氯二氧化氯测定仪</w:t>
      </w:r>
    </w:p>
    <w:p>
      <w:pPr>
        <w:pStyle w:val="2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2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产品介绍</w:t>
      </w:r>
    </w:p>
    <w:p>
      <w:pPr>
        <w:pStyle w:val="2"/>
        <w:ind w:firstLine="380" w:firstLineChars="200"/>
        <w:rPr>
          <w:rFonts w:hint="eastAsia" w:ascii="微软雅黑" w:hAnsi="微软雅黑" w:eastAsia="微软雅黑" w:cs="微软雅黑"/>
          <w:b/>
          <w:bCs/>
          <w:color w:val="3F3F3F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余氯总氯二氧化氯测定仪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</w:rPr>
        <w:t>使用比色法测量，先进的固态冷光源、窄带干涉技术及微电脑自动处理数据，直接显示样品的浓度值。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 xml:space="preserve">    纯中文显示，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</w:rPr>
        <w:t>可以让检测数据更直观的展现，引导式检测模式，降低了学习成本，使用者可以简单快速的测定污染物。</w:t>
      </w:r>
    </w:p>
    <w:p>
      <w:pPr>
        <w:pStyle w:val="2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</w:p>
    <w:p>
      <w:pPr>
        <w:pStyle w:val="2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应用领域</w:t>
      </w: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3F3F3F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3F3F3F"/>
          <w:sz w:val="19"/>
          <w:szCs w:val="19"/>
          <w:lang w:val="en-US" w:eastAsia="zh-CN"/>
        </w:rPr>
        <w:t>医院废污水、透析水、游泳池水、水产养殖、自来水厂、纯净水厂行业。</w:t>
      </w: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3F3F3F"/>
          <w:sz w:val="19"/>
          <w:szCs w:val="19"/>
          <w:lang w:val="en-US" w:eastAsia="zh-CN"/>
        </w:rPr>
      </w:pPr>
    </w:p>
    <w:p>
      <w:pPr>
        <w:pStyle w:val="2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性能特点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设备基于国标DPD分光光度法研发。</w:t>
      </w:r>
    </w:p>
    <w:p>
      <w:pPr>
        <w:pStyle w:val="2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中文显示，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</w:rPr>
        <w:t>测量过程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引导式操作，可更快的上手操作设备。</w:t>
      </w:r>
    </w:p>
    <w:p>
      <w:pPr>
        <w:pStyle w:val="2"/>
        <w:rPr>
          <w:rFonts w:hint="eastAsia" w:ascii="Arial" w:hAnsi="Arial" w:cs="Arial"/>
          <w:i w:val="0"/>
          <w:caps w:val="0"/>
          <w:color w:val="333333"/>
          <w:spacing w:val="0"/>
          <w:sz w:val="14"/>
          <w:szCs w:val="1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便携式设计，无需外接电源，可在实验室和野外进行污水水质的快速测定。</w:t>
      </w:r>
    </w:p>
    <w:p>
      <w:pPr>
        <w:pStyle w:val="2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</w:rPr>
        <w:t>基于专用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固态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</w:rPr>
        <w:t>光源和窄波段滤波器进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行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</w:rPr>
        <w:t>光学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处理，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</w:rPr>
        <w:t>确保在量程内精确测量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eastAsia="zh-CN"/>
        </w:rPr>
        <w:t>。</w:t>
      </w:r>
    </w:p>
    <w:p>
      <w:pPr>
        <w:pStyle w:val="2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配备完善的试剂耗材，工作步骤简化，测量更简单、准确。</w:t>
      </w:r>
    </w:p>
    <w:p>
      <w:pPr>
        <w:pStyle w:val="2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  <w:t>设备自动背光和省电模式提高了设备待机时长。</w:t>
      </w:r>
    </w:p>
    <w:p>
      <w:pPr>
        <w:pStyle w:val="2"/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2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技术参数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  <w:t xml:space="preserve">  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2506"/>
        <w:gridCol w:w="2336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8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5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余氯</w:t>
            </w:r>
          </w:p>
        </w:tc>
        <w:tc>
          <w:tcPr>
            <w:tcW w:w="23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总氯</w:t>
            </w:r>
          </w:p>
        </w:tc>
        <w:tc>
          <w:tcPr>
            <w:tcW w:w="24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二氧化氯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8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25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国标DPD法</w:t>
            </w:r>
          </w:p>
        </w:tc>
        <w:tc>
          <w:tcPr>
            <w:tcW w:w="23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国标DPD法</w:t>
            </w:r>
          </w:p>
        </w:tc>
        <w:tc>
          <w:tcPr>
            <w:tcW w:w="24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国标DPD法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8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检测范围</w:t>
            </w:r>
          </w:p>
        </w:tc>
        <w:tc>
          <w:tcPr>
            <w:tcW w:w="25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0-10mg/L</w:t>
            </w:r>
          </w:p>
        </w:tc>
        <w:tc>
          <w:tcPr>
            <w:tcW w:w="23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0-10mg/L</w:t>
            </w:r>
          </w:p>
        </w:tc>
        <w:tc>
          <w:tcPr>
            <w:tcW w:w="24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0-5mg/L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8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检测精度</w:t>
            </w:r>
          </w:p>
        </w:tc>
        <w:tc>
          <w:tcPr>
            <w:tcW w:w="25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0.01</w:t>
            </w:r>
          </w:p>
        </w:tc>
        <w:tc>
          <w:tcPr>
            <w:tcW w:w="23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0.01</w:t>
            </w:r>
          </w:p>
        </w:tc>
        <w:tc>
          <w:tcPr>
            <w:tcW w:w="24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8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示值误差</w:t>
            </w:r>
          </w:p>
        </w:tc>
        <w:tc>
          <w:tcPr>
            <w:tcW w:w="25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±5%</w:t>
            </w:r>
          </w:p>
        </w:tc>
        <w:tc>
          <w:tcPr>
            <w:tcW w:w="23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±5%</w:t>
            </w:r>
          </w:p>
        </w:tc>
        <w:tc>
          <w:tcPr>
            <w:tcW w:w="24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8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重复性</w:t>
            </w:r>
          </w:p>
        </w:tc>
        <w:tc>
          <w:tcPr>
            <w:tcW w:w="25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≤3%</w:t>
            </w:r>
          </w:p>
        </w:tc>
        <w:tc>
          <w:tcPr>
            <w:tcW w:w="23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≤3%</w:t>
            </w:r>
          </w:p>
        </w:tc>
        <w:tc>
          <w:tcPr>
            <w:tcW w:w="24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8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供电电源</w:t>
            </w:r>
          </w:p>
        </w:tc>
        <w:tc>
          <w:tcPr>
            <w:tcW w:w="7248" w:type="dxa"/>
            <w:gridSpan w:val="3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5节5号电池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8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外形尺寸</w:t>
            </w:r>
          </w:p>
        </w:tc>
        <w:tc>
          <w:tcPr>
            <w:tcW w:w="7248" w:type="dxa"/>
            <w:gridSpan w:val="3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F3F3F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F3F3F"/>
                <w:kern w:val="0"/>
                <w:sz w:val="19"/>
                <w:szCs w:val="19"/>
                <w:u w:val="none"/>
                <w:lang w:val="en-US" w:eastAsia="zh-CN" w:bidi="ar"/>
              </w:rPr>
              <w:t>219mm×108mm×40mm</w:t>
            </w:r>
          </w:p>
        </w:tc>
      </w:tr>
    </w:tbl>
    <w:p>
      <w:pPr>
        <w:pStyle w:val="2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ind w:left="95" w:leftChars="0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2"/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发货清单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  <w:t xml:space="preserve">  </w:t>
      </w:r>
    </w:p>
    <w:tbl>
      <w:tblPr>
        <w:tblStyle w:val="6"/>
        <w:tblpPr w:leftFromText="180" w:rightFromText="180" w:vertAnchor="text" w:horzAnchor="page" w:tblpX="1915" w:tblpY="195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524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序号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D0D0D" w:themeColor="text1" w:themeTint="F2"/>
                <w:sz w:val="19"/>
                <w:szCs w:val="19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名称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D0D0D" w:themeColor="text1" w:themeTint="F2"/>
                <w:kern w:val="2"/>
                <w:sz w:val="19"/>
                <w:szCs w:val="19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测定仪主机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D0D0D" w:themeColor="text1" w:themeTint="F2"/>
                <w:kern w:val="2"/>
                <w:sz w:val="19"/>
                <w:szCs w:val="19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余氯试剂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kern w:val="2"/>
                <w:sz w:val="19"/>
                <w:szCs w:val="19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移液管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kern w:val="2"/>
                <w:sz w:val="19"/>
                <w:szCs w:val="19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专用比色管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3只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5号南孚电池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5节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擦拭布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丁腈手套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手提箱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50ml稀释杯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4只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合格证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保修卡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12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kern w:val="2"/>
                <w:sz w:val="19"/>
                <w:szCs w:val="19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操作说明书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47" w:type="dxa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  <w:t>13</w:t>
            </w:r>
          </w:p>
        </w:tc>
        <w:tc>
          <w:tcPr>
            <w:tcW w:w="524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  <w:t>进口</w:t>
            </w:r>
            <w:r>
              <w:rPr>
                <w:rFonts w:ascii="Arial" w:hAnsi="Arial" w:eastAsia="宋体" w:cs="Arial"/>
                <w:i w:val="0"/>
                <w:caps w:val="0"/>
                <w:color w:val="FF0000"/>
                <w:spacing w:val="0"/>
                <w:sz w:val="15"/>
                <w:szCs w:val="15"/>
                <w:shd w:val="clear" w:fill="FFFFFF"/>
              </w:rPr>
              <w:t>Biohit</w:t>
            </w: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  <w:t>移液器、和移液枪头一包</w:t>
            </w:r>
          </w:p>
        </w:tc>
        <w:tc>
          <w:tcPr>
            <w:tcW w:w="20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  <w:t>选配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980" w:type="dxa"/>
            <w:gridSpan w:val="3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  <w:t>建议单独选购公司配套移液器和移液枪头，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0"/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  <w:lang w:val="en-US" w:eastAsia="zh-CN"/>
              </w:rPr>
              <w:t>因测定过程需要稀释操作，采用移液器移取液体比移液管效率提升80%</w:t>
            </w:r>
          </w:p>
        </w:tc>
      </w:tr>
    </w:tbl>
    <w:p>
      <w:pPr>
        <w:pStyle w:val="2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ind w:left="95" w:leftChars="0"/>
        <w:rPr>
          <w:color w:val="FF0000"/>
          <w:sz w:val="19"/>
          <w:szCs w:val="19"/>
        </w:rPr>
      </w:pPr>
    </w:p>
    <w:p>
      <w:pPr>
        <w:pStyle w:val="2"/>
        <w:numPr>
          <w:ilvl w:val="0"/>
          <w:numId w:val="0"/>
        </w:numPr>
        <w:ind w:left="95" w:leftChars="0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9"/>
          <w:szCs w:val="19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Mar w:top="1440" w:right="1800" w:bottom="1440" w:left="1800" w:header="737" w:footer="624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2733040</wp:posOffset>
              </wp:positionH>
              <wp:positionV relativeFrom="paragraph">
                <wp:posOffset>173990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3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5.2pt;margin-top:13.7pt;height:45.4pt;width:285.2pt;z-index:251661312;mso-width-relative:page;mso-height-relative:page;" filled="f" stroked="f" coordsize="21600,21600" o:gfxdata="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eaEhT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3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3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-1291590</wp:posOffset>
              </wp:positionH>
              <wp:positionV relativeFrom="paragraph">
                <wp:posOffset>-521335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074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074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1" name="任意多边形 11"/>
                      <wps:cNvSpPr/>
                      <wps:spPr>
                        <a:xfrm flipH="1">
                          <a:off x="5559" y="6604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1.7pt;margin-top:-41.05pt;height:150.8pt;width:630.95pt;z-index:-251656192;mso-width-relative:page;mso-height-relative:page;" coordorigin="5559,6074" coordsize="12619,3016" o:gfxdata="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">
              <o:lock v:ext="edit" aspectratio="f"/>
              <v:shape id="_x0000_s1026" o:spid="_x0000_s1026" o:spt="100" style="position:absolute;left:5673;top:6074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_x0000_s1026" o:spid="_x0000_s1026" o:spt="100" style="position:absolute;left:5559;top:6604;flip:x;height:2119;width:12607;v-text-anchor:middle;" fillcolor="#0A2751" filled="t" stroked="f" coordsize="12239,1880" o:gfxdata="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PxMq8AAAA&#10;2wAAAA8AAAAAAAAAAQAgAAAAIgAAAGRycy9kb3ducmV2LnhtbFBLAQIUABQAAAAIAIdO4kAzLwWe&#10;OwAAADkAAAAQAAAAAAAAAAEAIAAAAAsBAABkcnMvc2hhcGV4bWwueG1sUEsFBgAAAAAGAAYAWwEA&#10;ALUDAAAAAA=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3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</w:p>
  <w:p>
    <w:pPr>
      <w:pStyle w:val="3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641"/>
        <w:tab w:val="clear" w:pos="4153"/>
      </w:tabs>
      <w:rPr>
        <w:rFonts w:hint="eastAsia" w:eastAsia="宋体"/>
        <w:lang w:val="en-US" w:eastAsia="zh-CN"/>
      </w:rPr>
    </w:pPr>
    <w:r>
      <w:rPr>
        <w:rFonts w:hint="eastAsia" w:eastAsia="宋体"/>
        <w:b/>
        <w:bCs/>
        <w:color w:val="1D0A86"/>
        <w:sz w:val="40"/>
        <w:szCs w:val="48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4617720</wp:posOffset>
          </wp:positionH>
          <wp:positionV relativeFrom="paragraph">
            <wp:posOffset>-234950</wp:posOffset>
          </wp:positionV>
          <wp:extent cx="1610995" cy="787400"/>
          <wp:effectExtent l="0" t="0" r="0" b="0"/>
          <wp:wrapTight wrapText="bothSides">
            <wp:wrapPolygon>
              <wp:start x="18595" y="4181"/>
              <wp:lineTo x="5517" y="6689"/>
              <wp:lineTo x="3882" y="7525"/>
              <wp:lineTo x="3882" y="12960"/>
              <wp:lineTo x="4291" y="19231"/>
              <wp:lineTo x="18799" y="19231"/>
              <wp:lineTo x="19208" y="10870"/>
              <wp:lineTo x="20229" y="5017"/>
              <wp:lineTo x="20229" y="4181"/>
              <wp:lineTo x="18595" y="4181"/>
            </wp:wrapPolygon>
          </wp:wrapTight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146079C"/>
    <w:rsid w:val="14D7314C"/>
    <w:rsid w:val="1BE067D4"/>
    <w:rsid w:val="42F55B42"/>
    <w:rsid w:val="5F312D94"/>
    <w:rsid w:val="60194835"/>
    <w:rsid w:val="61192E40"/>
    <w:rsid w:val="79732CC9"/>
    <w:rsid w:val="7B7331DE"/>
    <w:rsid w:val="7F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王一</cp:lastModifiedBy>
  <dcterms:modified xsi:type="dcterms:W3CDTF">2020-03-11T14:30:46Z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