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是特异性靶基因检测与定量的一体化平台。7500将PCR热循环，荧光检测和各种应用分析软件结合在一起，可以动态观察PCR每一循环各反应管中PCR扩增产物逐渐增加的情况。PCR实验结束后可以马上得定量结果，无需凝胶电泳分析，无需纯化PCR产物，无需进行任何实验操作。与其他人工基因定量分析方法如Northern blotting或RNase-protection assays相比，ABI7500荧光定量PCR系统具有时间省，灵敏度高，准确性好和线性范围宽等优点。</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二手ABI7500荧光定量PCR仪器特点</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1.五色荧光同时检测支持各种应用需要，支持染料包括：FAM?/SYBR? Green I，VIC/JOE，NED/TAMRA/Cy3，ROX/Texas-Red和Cy5;</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2.更好的激发光源设计使长波长红色荧光的检测灵敏度大大提高;</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3.支持标准的96孔板快速反应模式，大大降低实时定量PCR所需要的时间。</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二手ABI7500荧光定量PCR仪软件特点</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1.反应板设置指南软件使实验设计非常简单，包括复杂的多色荧光实验;</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2.可选择快速、标准或者9600反应模式;</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3.实时监测扩增曲线;</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4.实验过程中可以增加PCR循环数;</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5.自动设置荧光基线，自动计算荧光阈值使数据分析大大简化;</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6.可在同一反应板采用多种标准曲线对靶基因进行定量，可以简化工作流程以及下游产物分析;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7.基因表达相对定量软件提供强大的结果分析显示，可以自动将多达10块96孔板基因表达实验数据同时分析，并自动去除无关项数据;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8.自动SNP分析软件可以简单直观的图表输出分型结果并自动进行分型质量评分;</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9.解离曲线数据采集操作简单，观察方便，可以在仪器运行时观察解离曲线数据;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10.观察实时扩增曲线时可以非常方便的标定所对应的样品孔位置;</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11.光源使用时间监测及仪器系统自我诊断程序。</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二手ABI7500荧光定量PCR仪主要应用</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基于相对定量分析的基因表达分析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以标准曲线为基础的病原体定量分析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定性的PCR扩增后核酸序列的SNP基因型分析</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以阳性内对照为基础的阳性/阴性结果判定</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二手ABI7500荧光定量PCR仪性能</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7500型快速实时荧光定量PCR系统经过验证可以达到如下性能指标：</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9个数量级的线性范围;</w:t>
      </w:r>
    </w:p>
    <w:p>
      <w:pPr>
        <w:spacing w:beforeLines="0" w:afterLines="0"/>
        <w:jc w:val="left"/>
        <w:rPr>
          <w:rFonts w:hint="eastAsia" w:ascii="宋体" w:hAnsi="宋体"/>
          <w:color w:val="000000"/>
          <w:position w:val="6"/>
          <w:sz w:val="20"/>
          <w:lang w:val="zh-CN"/>
        </w:rPr>
      </w:pPr>
    </w:p>
    <w:p>
      <w:pPr>
        <w:spacing w:beforeLines="0" w:afterLines="0"/>
        <w:jc w:val="left"/>
        <w:rPr>
          <w:rFonts w:hint="eastAsia" w:ascii="宋体" w:hAnsi="宋体"/>
          <w:color w:val="000000"/>
          <w:position w:val="6"/>
          <w:sz w:val="20"/>
          <w:lang w:val="zh-CN"/>
        </w:rPr>
      </w:pPr>
      <w:r>
        <w:rPr>
          <w:rFonts w:hint="eastAsia" w:ascii="宋体" w:hAnsi="宋体"/>
          <w:color w:val="000000"/>
          <w:position w:val="6"/>
          <w:sz w:val="20"/>
          <w:lang w:val="zh-CN"/>
        </w:rPr>
        <w:t xml:space="preserve">可以检测20 </w:t>
      </w:r>
      <w:r>
        <w:rPr>
          <w:rFonts w:hint="default" w:ascii="Arial Greek" w:hAnsi="Arial Greek" w:eastAsia="Arial Greek"/>
          <w:color w:val="000000"/>
          <w:position w:val="6"/>
          <w:sz w:val="20"/>
          <w:lang w:val="zh-CN"/>
        </w:rPr>
        <w:t>μL</w:t>
      </w:r>
      <w:r>
        <w:rPr>
          <w:rFonts w:hint="eastAsia" w:ascii="宋体" w:hAnsi="宋体"/>
          <w:color w:val="000000"/>
          <w:position w:val="6"/>
          <w:sz w:val="20"/>
          <w:lang w:val="zh-CN"/>
        </w:rPr>
        <w:t>反应体积单一报告荧光TaqMan实验中仅10个起始拷贝数的模板，其可置信度高达99.7%。</w:t>
      </w:r>
    </w:p>
    <w:p>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Greek">
    <w:altName w:val="Arial"/>
    <w:panose1 w:val="00000000000000000000"/>
    <w:charset w:val="A1"/>
    <w:family w:val="swiss"/>
    <w:pitch w:val="default"/>
    <w:sig w:usb0="00000000" w:usb1="00000000" w:usb2="00000000" w:usb3="00000000" w:csb0="00000008" w:csb1="00000000"/>
  </w:font>
  <w:font w:name="Arial">
    <w:panose1 w:val="020B0604020202020204"/>
    <w:charset w:val="A1"/>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403555"/>
    <w:rsid w:val="4079671B"/>
    <w:rsid w:val="45123952"/>
    <w:rsid w:val="6F38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2018-10-26T05:35:39Z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