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8268" w14:textId="77777777" w:rsidR="00CD1AE1" w:rsidRDefault="00CD1AE1">
      <w:pPr>
        <w:snapToGrid w:val="0"/>
        <w:spacing w:line="360" w:lineRule="auto"/>
        <w:ind w:firstLineChars="50" w:firstLine="160"/>
        <w:rPr>
          <w:rFonts w:eastAsia="黑体"/>
          <w:color w:val="FF0000"/>
          <w:sz w:val="32"/>
          <w:szCs w:val="32"/>
        </w:rPr>
      </w:pPr>
      <w:r>
        <w:rPr>
          <w:rFonts w:eastAsia="黑体"/>
          <w:color w:val="FF0000"/>
          <w:sz w:val="32"/>
          <w:szCs w:val="32"/>
        </w:rPr>
        <w:t xml:space="preserve">                                    </w:t>
      </w:r>
    </w:p>
    <w:p w14:paraId="3A8790E5" w14:textId="77777777" w:rsidR="00CD1AE1" w:rsidRDefault="00CD1AE1" w:rsidP="00D32F45">
      <w:pPr>
        <w:rPr>
          <w:rFonts w:ascii="黑体" w:eastAsia="黑体" w:hAnsi="黑体" w:cs="仿宋_GB2312" w:hint="eastAsia"/>
          <w:bCs/>
          <w:sz w:val="32"/>
          <w:szCs w:val="32"/>
        </w:rPr>
      </w:pPr>
      <w:r>
        <w:rPr>
          <w:rFonts w:eastAsia="黑体"/>
          <w:color w:val="FF0000"/>
          <w:sz w:val="32"/>
          <w:szCs w:val="32"/>
        </w:rPr>
        <w:t xml:space="preserve"> </w:t>
      </w:r>
      <w:r>
        <w:rPr>
          <w:rFonts w:ascii="黑体" w:eastAsia="黑体" w:hAnsi="黑体" w:hint="eastAsia"/>
          <w:sz w:val="32"/>
          <w:szCs w:val="32"/>
        </w:rPr>
        <w:t>附件</w:t>
      </w:r>
    </w:p>
    <w:p w14:paraId="7DCE751C" w14:textId="77777777" w:rsidR="00CD1AE1" w:rsidRDefault="00CD1AE1">
      <w:pPr>
        <w:spacing w:line="590" w:lineRule="exact"/>
        <w:jc w:val="center"/>
        <w:rPr>
          <w:rFonts w:eastAsia="黑体"/>
          <w:sz w:val="44"/>
          <w:szCs w:val="44"/>
        </w:rPr>
      </w:pPr>
    </w:p>
    <w:p w14:paraId="746F9DCB" w14:textId="77777777" w:rsidR="00CD1AE1" w:rsidRDefault="00CD1AE1">
      <w:pPr>
        <w:spacing w:line="590" w:lineRule="exact"/>
        <w:jc w:val="center"/>
        <w:rPr>
          <w:rFonts w:ascii="方正小标宋简体" w:eastAsia="方正小标宋简体"/>
          <w:sz w:val="44"/>
          <w:szCs w:val="44"/>
        </w:rPr>
      </w:pPr>
      <w:r>
        <w:rPr>
          <w:rFonts w:ascii="方正小标宋简体" w:eastAsia="方正小标宋简体" w:hint="eastAsia"/>
          <w:sz w:val="44"/>
          <w:szCs w:val="44"/>
        </w:rPr>
        <w:t>化学药品注册分类及申报资料要求</w:t>
      </w:r>
    </w:p>
    <w:p w14:paraId="790560DD" w14:textId="77777777" w:rsidR="00CD1AE1" w:rsidRDefault="00CD1AE1">
      <w:pPr>
        <w:spacing w:line="590" w:lineRule="exact"/>
        <w:jc w:val="center"/>
        <w:rPr>
          <w:rFonts w:ascii="楷体_GB2312" w:eastAsia="楷体_GB2312" w:hAnsi="楷体_GB2312" w:cs="楷体_GB2312"/>
          <w:sz w:val="32"/>
          <w:szCs w:val="32"/>
        </w:rPr>
      </w:pPr>
    </w:p>
    <w:p w14:paraId="5E6202AF" w14:textId="77777777" w:rsidR="00CD1AE1" w:rsidRDefault="00CD1AE1">
      <w:pPr>
        <w:tabs>
          <w:tab w:val="center" w:pos="4473"/>
        </w:tabs>
        <w:spacing w:line="590" w:lineRule="exact"/>
        <w:ind w:firstLineChars="200" w:firstLine="640"/>
        <w:rPr>
          <w:rFonts w:eastAsia="黑体"/>
          <w:sz w:val="32"/>
          <w:szCs w:val="32"/>
        </w:rPr>
      </w:pPr>
      <w:r>
        <w:rPr>
          <w:rFonts w:eastAsia="黑体"/>
          <w:sz w:val="32"/>
          <w:szCs w:val="32"/>
        </w:rPr>
        <w:t>一、化学药品注册分类</w:t>
      </w:r>
    </w:p>
    <w:p w14:paraId="710DCBE9" w14:textId="77777777" w:rsidR="00CD1AE1" w:rsidRDefault="00CD1AE1">
      <w:pPr>
        <w:spacing w:line="590" w:lineRule="exact"/>
        <w:ind w:firstLineChars="200" w:firstLine="640"/>
        <w:rPr>
          <w:rFonts w:eastAsia="仿宋_GB2312"/>
          <w:sz w:val="32"/>
          <w:szCs w:val="32"/>
        </w:rPr>
      </w:pPr>
      <w:r>
        <w:rPr>
          <w:rFonts w:eastAsia="仿宋_GB2312"/>
          <w:sz w:val="32"/>
          <w:szCs w:val="32"/>
        </w:rPr>
        <w:t>化学药品注册分类</w:t>
      </w:r>
      <w:r>
        <w:rPr>
          <w:rFonts w:eastAsia="仿宋_GB2312" w:hint="eastAsia"/>
          <w:sz w:val="32"/>
          <w:szCs w:val="32"/>
        </w:rPr>
        <w:t>分为创新药、改良型新药、仿制药、境外已上市境内未上市化学药品，</w:t>
      </w:r>
      <w:r>
        <w:rPr>
          <w:rFonts w:eastAsia="仿宋_GB2312"/>
          <w:sz w:val="32"/>
          <w:szCs w:val="32"/>
        </w:rPr>
        <w:t>分为</w:t>
      </w:r>
      <w:r>
        <w:rPr>
          <w:rFonts w:eastAsia="仿宋_GB2312" w:hint="eastAsia"/>
          <w:sz w:val="32"/>
          <w:szCs w:val="32"/>
        </w:rPr>
        <w:t>以</w:t>
      </w:r>
      <w:r>
        <w:rPr>
          <w:rFonts w:eastAsia="仿宋_GB2312"/>
          <w:sz w:val="32"/>
          <w:szCs w:val="32"/>
        </w:rPr>
        <w:t>下</w:t>
      </w:r>
      <w:r>
        <w:rPr>
          <w:rFonts w:eastAsia="仿宋_GB2312"/>
          <w:sz w:val="32"/>
          <w:szCs w:val="32"/>
        </w:rPr>
        <w:t>5</w:t>
      </w:r>
      <w:r>
        <w:rPr>
          <w:rFonts w:eastAsia="仿宋_GB2312"/>
          <w:sz w:val="32"/>
          <w:szCs w:val="32"/>
        </w:rPr>
        <w:t>个类别：</w:t>
      </w:r>
    </w:p>
    <w:p w14:paraId="3954AFC4" w14:textId="77777777" w:rsidR="00CD1AE1" w:rsidRDefault="00CD1AE1">
      <w:pPr>
        <w:spacing w:line="590" w:lineRule="exact"/>
        <w:ind w:firstLineChars="200" w:firstLine="640"/>
        <w:rPr>
          <w:rFonts w:eastAsia="仿宋_GB2312"/>
          <w:spacing w:val="-6"/>
          <w:sz w:val="32"/>
          <w:szCs w:val="32"/>
        </w:rPr>
      </w:pPr>
      <w:r>
        <w:rPr>
          <w:rFonts w:eastAsia="仿宋_GB2312"/>
          <w:sz w:val="32"/>
          <w:szCs w:val="32"/>
        </w:rPr>
        <w:t>1</w:t>
      </w:r>
      <w:r>
        <w:rPr>
          <w:rFonts w:eastAsia="仿宋_GB2312"/>
          <w:sz w:val="32"/>
          <w:szCs w:val="32"/>
        </w:rPr>
        <w:t>类：境</w:t>
      </w:r>
      <w:r>
        <w:rPr>
          <w:rFonts w:eastAsia="仿宋_GB2312"/>
          <w:spacing w:val="-6"/>
          <w:sz w:val="32"/>
          <w:szCs w:val="32"/>
        </w:rPr>
        <w:t>内外均未上市的创新药。指含有新的结构明确的、具有药理作用的化合物，且具有临床价值的药品。</w:t>
      </w:r>
    </w:p>
    <w:p w14:paraId="00E7D171" w14:textId="77777777" w:rsidR="00CD1AE1" w:rsidRDefault="00CD1AE1">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类：境内外均未上市的改良型新药。指在已知活性成份的基础上，对其结构、剂型、处方工艺、给药途径、适应症等进行优化，且具有明显临床优势的药品。</w:t>
      </w:r>
    </w:p>
    <w:p w14:paraId="585A8A5B" w14:textId="77777777" w:rsidR="00CD1AE1" w:rsidRDefault="00CD1AE1">
      <w:pPr>
        <w:spacing w:line="590" w:lineRule="exact"/>
        <w:ind w:firstLineChars="200" w:firstLine="640"/>
        <w:rPr>
          <w:rFonts w:eastAsia="仿宋_GB2312"/>
          <w:sz w:val="32"/>
          <w:szCs w:val="32"/>
        </w:rPr>
      </w:pPr>
      <w:r>
        <w:rPr>
          <w:rFonts w:eastAsia="仿宋_GB2312"/>
          <w:sz w:val="32"/>
          <w:szCs w:val="32"/>
        </w:rPr>
        <w:t>2.1</w:t>
      </w:r>
      <w:r>
        <w:rPr>
          <w:rFonts w:eastAsia="仿宋_GB2312" w:hint="eastAsia"/>
          <w:sz w:val="32"/>
          <w:szCs w:val="32"/>
        </w:rPr>
        <w:t>含有用拆分或者合成等方法制得的已知活性成份的光学异构体，或者对已知活性成份成酯，或者对已知活性成份成盐（包括含有氢键或配位键的盐），或者改变已知盐类活性成份的酸根、碱基或金属元素，或者形成其他非共价键衍生物（如络合物、螯合物或包合物），且具有明显临床优势的药品。</w:t>
      </w:r>
    </w:p>
    <w:p w14:paraId="247AA8A4" w14:textId="77777777" w:rsidR="00CD1AE1" w:rsidRDefault="00CD1AE1">
      <w:pPr>
        <w:spacing w:line="590" w:lineRule="exact"/>
        <w:ind w:firstLineChars="200" w:firstLine="640"/>
        <w:rPr>
          <w:rFonts w:eastAsia="仿宋_GB2312"/>
          <w:sz w:val="32"/>
          <w:szCs w:val="32"/>
        </w:rPr>
      </w:pPr>
      <w:r>
        <w:rPr>
          <w:rFonts w:eastAsia="仿宋_GB2312"/>
          <w:sz w:val="32"/>
          <w:szCs w:val="32"/>
        </w:rPr>
        <w:t>2.2</w:t>
      </w:r>
      <w:r>
        <w:rPr>
          <w:rFonts w:eastAsia="仿宋_GB2312" w:hint="eastAsia"/>
          <w:sz w:val="32"/>
          <w:szCs w:val="32"/>
        </w:rPr>
        <w:t>含有已知活性成份的新剂型（包括新的给药系统）、新处方工艺、新给药途径，且具有明显临床优势的药品。</w:t>
      </w:r>
    </w:p>
    <w:p w14:paraId="10A469E2" w14:textId="77777777" w:rsidR="00CD1AE1" w:rsidRDefault="00CD1AE1">
      <w:pPr>
        <w:spacing w:line="590" w:lineRule="exact"/>
        <w:ind w:firstLineChars="200" w:firstLine="640"/>
        <w:rPr>
          <w:rFonts w:eastAsia="仿宋_GB2312"/>
          <w:sz w:val="32"/>
          <w:szCs w:val="32"/>
        </w:rPr>
      </w:pPr>
      <w:r>
        <w:rPr>
          <w:rFonts w:eastAsia="仿宋_GB2312"/>
          <w:sz w:val="32"/>
          <w:szCs w:val="32"/>
        </w:rPr>
        <w:t>2.3</w:t>
      </w:r>
      <w:r>
        <w:rPr>
          <w:rFonts w:eastAsia="仿宋_GB2312" w:hint="eastAsia"/>
          <w:sz w:val="32"/>
          <w:szCs w:val="32"/>
        </w:rPr>
        <w:t>含有已知活性成份的新复方制剂，且具有明显临床优势。</w:t>
      </w:r>
    </w:p>
    <w:p w14:paraId="0E7EAF76" w14:textId="77777777" w:rsidR="00CD1AE1" w:rsidRDefault="00CD1AE1">
      <w:pPr>
        <w:spacing w:line="590" w:lineRule="exact"/>
        <w:ind w:firstLineChars="200" w:firstLine="640"/>
        <w:rPr>
          <w:rFonts w:eastAsia="仿宋_GB2312"/>
          <w:sz w:val="32"/>
          <w:szCs w:val="32"/>
        </w:rPr>
      </w:pPr>
      <w:r>
        <w:rPr>
          <w:rFonts w:eastAsia="仿宋_GB2312"/>
          <w:sz w:val="32"/>
          <w:szCs w:val="32"/>
        </w:rPr>
        <w:t>2.4</w:t>
      </w:r>
      <w:r>
        <w:rPr>
          <w:rFonts w:eastAsia="仿宋_GB2312" w:hint="eastAsia"/>
          <w:sz w:val="32"/>
          <w:szCs w:val="32"/>
        </w:rPr>
        <w:t>含有已知活性成份的新适应症的药品。</w:t>
      </w:r>
    </w:p>
    <w:p w14:paraId="2D1E09BA" w14:textId="77777777" w:rsidR="00CD1AE1" w:rsidRDefault="00CD1AE1">
      <w:pPr>
        <w:spacing w:line="59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类：境内申请人仿制境外上市但境内未上市</w:t>
      </w:r>
      <w:r>
        <w:rPr>
          <w:rFonts w:eastAsia="仿宋_GB2312" w:hint="eastAsia"/>
          <w:sz w:val="32"/>
          <w:szCs w:val="32"/>
        </w:rPr>
        <w:t>原研药品</w:t>
      </w:r>
      <w:r>
        <w:rPr>
          <w:rFonts w:eastAsia="仿宋_GB2312"/>
          <w:sz w:val="32"/>
          <w:szCs w:val="32"/>
        </w:rPr>
        <w:t>的药品。该类药品应与</w:t>
      </w:r>
      <w:r>
        <w:rPr>
          <w:rFonts w:eastAsia="仿宋_GB2312" w:hint="eastAsia"/>
          <w:sz w:val="32"/>
          <w:szCs w:val="32"/>
        </w:rPr>
        <w:t>参比制剂</w:t>
      </w:r>
      <w:r>
        <w:rPr>
          <w:rFonts w:eastAsia="仿宋_GB2312"/>
          <w:sz w:val="32"/>
          <w:szCs w:val="32"/>
        </w:rPr>
        <w:t>的质量和疗效一致。</w:t>
      </w:r>
    </w:p>
    <w:p w14:paraId="7467DF76" w14:textId="77777777" w:rsidR="00CD1AE1" w:rsidRDefault="00CD1AE1">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类：境内申请人仿制已在境内上市原研药品的药品。该类药品应与</w:t>
      </w:r>
      <w:r>
        <w:rPr>
          <w:rFonts w:eastAsia="仿宋_GB2312" w:hint="eastAsia"/>
          <w:sz w:val="32"/>
          <w:szCs w:val="32"/>
        </w:rPr>
        <w:t>参比制剂</w:t>
      </w:r>
      <w:r>
        <w:rPr>
          <w:rFonts w:eastAsia="仿宋_GB2312"/>
          <w:sz w:val="32"/>
          <w:szCs w:val="32"/>
        </w:rPr>
        <w:t>的质量和疗效一致。</w:t>
      </w:r>
    </w:p>
    <w:p w14:paraId="4FF4A93A" w14:textId="77777777" w:rsidR="00CD1AE1" w:rsidRDefault="00CD1AE1">
      <w:pPr>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类：境外上市的药品申请在境内上市。</w:t>
      </w:r>
    </w:p>
    <w:p w14:paraId="780CFD8B" w14:textId="77777777" w:rsidR="00CD1AE1" w:rsidRDefault="00CD1AE1">
      <w:pPr>
        <w:spacing w:line="590" w:lineRule="exact"/>
        <w:ind w:firstLineChars="200" w:firstLine="640"/>
        <w:rPr>
          <w:rFonts w:eastAsia="仿宋_GB2312"/>
          <w:sz w:val="32"/>
          <w:szCs w:val="32"/>
        </w:rPr>
      </w:pPr>
      <w:r>
        <w:rPr>
          <w:rFonts w:eastAsia="仿宋_GB2312"/>
          <w:sz w:val="32"/>
          <w:szCs w:val="32"/>
        </w:rPr>
        <w:t>5.1</w:t>
      </w:r>
      <w:r>
        <w:rPr>
          <w:rFonts w:eastAsia="仿宋_GB2312" w:hint="eastAsia"/>
          <w:sz w:val="32"/>
          <w:szCs w:val="32"/>
        </w:rPr>
        <w:t>境外上市的原研药品和改良型药品申请在境内上市。改良型药品应具有明显临床优势。</w:t>
      </w:r>
    </w:p>
    <w:p w14:paraId="2567B7C8" w14:textId="77777777" w:rsidR="00CD1AE1" w:rsidRDefault="00CD1AE1">
      <w:pPr>
        <w:spacing w:line="590" w:lineRule="exact"/>
        <w:ind w:firstLineChars="200" w:firstLine="640"/>
        <w:rPr>
          <w:rFonts w:eastAsia="仿宋_GB2312"/>
          <w:sz w:val="32"/>
          <w:szCs w:val="32"/>
        </w:rPr>
      </w:pPr>
      <w:r>
        <w:rPr>
          <w:rFonts w:eastAsia="仿宋_GB2312"/>
          <w:sz w:val="32"/>
          <w:szCs w:val="32"/>
        </w:rPr>
        <w:t>5.2</w:t>
      </w:r>
      <w:r>
        <w:rPr>
          <w:rFonts w:eastAsia="仿宋_GB2312" w:hint="eastAsia"/>
          <w:sz w:val="32"/>
          <w:szCs w:val="32"/>
        </w:rPr>
        <w:t>境外上市的仿制药申请在境内上市。</w:t>
      </w:r>
    </w:p>
    <w:p w14:paraId="170237EB"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原研</w:t>
      </w:r>
      <w:r>
        <w:rPr>
          <w:rFonts w:eastAsia="仿宋_GB2312"/>
          <w:sz w:val="32"/>
          <w:szCs w:val="32"/>
        </w:rPr>
        <w:t>药品是指境内外首个获准上市，且具有完整和充分的安全性、有效性数据作为上市依据的药品。</w:t>
      </w:r>
    </w:p>
    <w:p w14:paraId="4B27F80E"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参比制剂是指经国家药品监管部门评估确认的仿制药研制使用的对照药品。参比制剂的遴选与公布按照国家药品监管部门相关规定执行。</w:t>
      </w:r>
    </w:p>
    <w:p w14:paraId="57640814" w14:textId="77777777" w:rsidR="00CD1AE1" w:rsidRDefault="00CD1AE1">
      <w:pPr>
        <w:spacing w:line="590" w:lineRule="exact"/>
        <w:ind w:firstLineChars="200" w:firstLine="640"/>
        <w:rPr>
          <w:rFonts w:eastAsia="黑体"/>
          <w:sz w:val="32"/>
          <w:szCs w:val="32"/>
        </w:rPr>
      </w:pPr>
      <w:r>
        <w:rPr>
          <w:rFonts w:eastAsia="黑体"/>
          <w:sz w:val="32"/>
          <w:szCs w:val="32"/>
        </w:rPr>
        <w:t>二、相关注册管理要求</w:t>
      </w:r>
    </w:p>
    <w:p w14:paraId="3396BCAF"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（一）化学药品</w:t>
      </w:r>
      <w:r>
        <w:rPr>
          <w:rFonts w:eastAsia="仿宋_GB2312"/>
          <w:sz w:val="32"/>
          <w:szCs w:val="32"/>
        </w:rPr>
        <w:t>1</w:t>
      </w:r>
      <w:r>
        <w:rPr>
          <w:rFonts w:eastAsia="仿宋_GB2312" w:hint="eastAsia"/>
          <w:sz w:val="32"/>
          <w:szCs w:val="32"/>
        </w:rPr>
        <w:t>类为创新药，应含有新的结构明确的、具有药理作用</w:t>
      </w:r>
      <w:r>
        <w:rPr>
          <w:rFonts w:eastAsia="仿宋_GB2312"/>
          <w:sz w:val="32"/>
          <w:szCs w:val="32"/>
        </w:rPr>
        <w:t>的化合物</w:t>
      </w:r>
      <w:r>
        <w:rPr>
          <w:rFonts w:eastAsia="仿宋_GB2312" w:hint="eastAsia"/>
          <w:sz w:val="32"/>
          <w:szCs w:val="32"/>
        </w:rPr>
        <w:t>，且具有临床价值，不包括改良型新药中</w:t>
      </w:r>
      <w:r>
        <w:rPr>
          <w:rFonts w:eastAsia="仿宋_GB2312"/>
          <w:sz w:val="32"/>
          <w:szCs w:val="32"/>
        </w:rPr>
        <w:t>2.1</w:t>
      </w:r>
      <w:r>
        <w:rPr>
          <w:rFonts w:eastAsia="仿宋_GB2312" w:hint="eastAsia"/>
          <w:sz w:val="32"/>
          <w:szCs w:val="32"/>
        </w:rPr>
        <w:t>类的药品。含有新的结构明确的、具有药理作用的化合物的新复方制剂，应按照化学药品</w:t>
      </w:r>
      <w:r>
        <w:rPr>
          <w:rFonts w:eastAsia="仿宋_GB2312"/>
          <w:sz w:val="32"/>
          <w:szCs w:val="32"/>
        </w:rPr>
        <w:t>1</w:t>
      </w:r>
      <w:r>
        <w:rPr>
          <w:rFonts w:eastAsia="仿宋_GB2312" w:hint="eastAsia"/>
          <w:sz w:val="32"/>
          <w:szCs w:val="32"/>
        </w:rPr>
        <w:t>类申报。</w:t>
      </w:r>
    </w:p>
    <w:p w14:paraId="38D1621D"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（二）化学药品</w:t>
      </w:r>
      <w:r>
        <w:rPr>
          <w:rFonts w:eastAsia="仿宋_GB2312"/>
          <w:sz w:val="32"/>
          <w:szCs w:val="32"/>
        </w:rPr>
        <w:t>2</w:t>
      </w:r>
      <w:r>
        <w:rPr>
          <w:rFonts w:eastAsia="仿宋_GB2312" w:hint="eastAsia"/>
          <w:sz w:val="32"/>
          <w:szCs w:val="32"/>
        </w:rPr>
        <w:t>类为改良型新药，在已知活性成份基础上进行优化，应比改良前具有明显临床优势。已知活性成份指境内或境外已上市药品的活性成份。该类药品同时符合多个情形要求的，须在申报时一并予以说明。</w:t>
      </w:r>
    </w:p>
    <w:p w14:paraId="53ADB286"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lastRenderedPageBreak/>
        <w:t>（三）化学药品</w:t>
      </w:r>
      <w:r>
        <w:rPr>
          <w:rFonts w:eastAsia="仿宋_GB2312"/>
          <w:sz w:val="32"/>
          <w:szCs w:val="32"/>
        </w:rPr>
        <w:t>3</w:t>
      </w:r>
      <w:r>
        <w:rPr>
          <w:rFonts w:eastAsia="仿宋_GB2312" w:hint="eastAsia"/>
          <w:sz w:val="32"/>
          <w:szCs w:val="32"/>
        </w:rPr>
        <w:t>类为境内生产的仿制境外已上市境内未上市原研药品的药品，具有与参比制剂相同的活性成份、剂型、规格、适应症、给药途径和用法用量，并证明质量和疗效与参比制剂一致。</w:t>
      </w:r>
    </w:p>
    <w:p w14:paraId="49A69D2A"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有充分研究数据证明合理性的情况下，规格和用法用量可以与参比制剂不一致。</w:t>
      </w:r>
    </w:p>
    <w:p w14:paraId="17E82FF9"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（四）化学药品</w:t>
      </w:r>
      <w:r>
        <w:rPr>
          <w:rFonts w:eastAsia="仿宋_GB2312"/>
          <w:sz w:val="32"/>
          <w:szCs w:val="32"/>
        </w:rPr>
        <w:t>4</w:t>
      </w:r>
      <w:r>
        <w:rPr>
          <w:rFonts w:eastAsia="仿宋_GB2312" w:hint="eastAsia"/>
          <w:sz w:val="32"/>
          <w:szCs w:val="32"/>
        </w:rPr>
        <w:t>类为境内生产的仿制境内已上市原研药品的药品，具有与参比制剂相同的活性成份、剂型、规格、适应症、给药途径和用法用量，并证明质量和疗效与参比制剂一致。</w:t>
      </w:r>
    </w:p>
    <w:p w14:paraId="41852385"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（五）化学药品</w:t>
      </w:r>
      <w:r>
        <w:rPr>
          <w:rFonts w:eastAsia="仿宋_GB2312"/>
          <w:sz w:val="32"/>
          <w:szCs w:val="32"/>
        </w:rPr>
        <w:t>5</w:t>
      </w:r>
      <w:r>
        <w:rPr>
          <w:rFonts w:eastAsia="仿宋_GB2312" w:hint="eastAsia"/>
          <w:sz w:val="32"/>
          <w:szCs w:val="32"/>
        </w:rPr>
        <w:t>类为境外上市的药品申请在境内上市，包括境内外生产的药品。其中化学药品</w:t>
      </w:r>
      <w:r>
        <w:rPr>
          <w:rFonts w:eastAsia="仿宋_GB2312" w:hint="eastAsia"/>
          <w:sz w:val="32"/>
          <w:szCs w:val="32"/>
        </w:rPr>
        <w:t>5.1</w:t>
      </w:r>
      <w:r>
        <w:rPr>
          <w:rFonts w:eastAsia="仿宋_GB2312" w:hint="eastAsia"/>
          <w:sz w:val="32"/>
          <w:szCs w:val="32"/>
        </w:rPr>
        <w:t>类为原研药品和改良型药品，改良型药品在已知活性成份基础上进行优化，应比改良前具有明显临床优势；化学药品</w:t>
      </w:r>
      <w:r>
        <w:rPr>
          <w:rFonts w:eastAsia="仿宋_GB2312" w:hint="eastAsia"/>
          <w:sz w:val="32"/>
          <w:szCs w:val="32"/>
        </w:rPr>
        <w:t>5.2</w:t>
      </w:r>
      <w:r>
        <w:rPr>
          <w:rFonts w:eastAsia="仿宋_GB2312" w:hint="eastAsia"/>
          <w:sz w:val="32"/>
          <w:szCs w:val="32"/>
        </w:rPr>
        <w:t>类为仿制药，应证明与参比制剂质量和疗效一致，技术要求与化学药品</w:t>
      </w:r>
      <w:r>
        <w:rPr>
          <w:rFonts w:eastAsia="仿宋_GB2312" w:hint="eastAsia"/>
          <w:sz w:val="32"/>
          <w:szCs w:val="32"/>
        </w:rPr>
        <w:t>3</w:t>
      </w:r>
      <w:r>
        <w:rPr>
          <w:rFonts w:eastAsia="仿宋_GB2312" w:hint="eastAsia"/>
          <w:sz w:val="32"/>
          <w:szCs w:val="32"/>
        </w:rPr>
        <w:t>类、</w:t>
      </w:r>
      <w:r>
        <w:rPr>
          <w:rFonts w:eastAsia="仿宋_GB2312" w:hint="eastAsia"/>
          <w:sz w:val="32"/>
          <w:szCs w:val="32"/>
        </w:rPr>
        <w:t>4</w:t>
      </w:r>
      <w:r>
        <w:rPr>
          <w:rFonts w:eastAsia="仿宋_GB2312" w:hint="eastAsia"/>
          <w:sz w:val="32"/>
          <w:szCs w:val="32"/>
        </w:rPr>
        <w:t>类相同。</w:t>
      </w:r>
      <w:r>
        <w:rPr>
          <w:rFonts w:eastAsia="仿宋_GB2312"/>
          <w:sz w:val="32"/>
          <w:szCs w:val="30"/>
        </w:rPr>
        <w:t>境内外同步研发的境外生产仿制药，应按照化学药品</w:t>
      </w:r>
      <w:r>
        <w:rPr>
          <w:rFonts w:eastAsia="仿宋_GB2312"/>
          <w:sz w:val="32"/>
          <w:szCs w:val="30"/>
        </w:rPr>
        <w:t>5.2</w:t>
      </w:r>
      <w:r>
        <w:rPr>
          <w:rFonts w:eastAsia="仿宋_GB2312"/>
          <w:sz w:val="32"/>
          <w:szCs w:val="30"/>
        </w:rPr>
        <w:t>类申报，如申报临床试验，不要求提供允许药品上市销售证明文件。</w:t>
      </w:r>
    </w:p>
    <w:p w14:paraId="2BB08AC5"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（六）已上市药品增加境外已批准境内未批准的适应症按照药物临床试验和上市许可申请通道进行申报。</w:t>
      </w:r>
    </w:p>
    <w:p w14:paraId="2EC87F29" w14:textId="77777777" w:rsidR="00CD1AE1" w:rsidRDefault="00CD1AE1">
      <w:pPr>
        <w:spacing w:line="590" w:lineRule="exact"/>
        <w:ind w:firstLineChars="200" w:firstLine="640"/>
        <w:rPr>
          <w:rFonts w:eastAsia="仿宋_GB2312"/>
          <w:sz w:val="32"/>
          <w:szCs w:val="32"/>
        </w:rPr>
      </w:pPr>
      <w:r>
        <w:rPr>
          <w:rFonts w:eastAsia="仿宋_GB2312" w:hint="eastAsia"/>
          <w:sz w:val="32"/>
          <w:szCs w:val="32"/>
        </w:rPr>
        <w:t>（七）药品上市申请审评审批期间，药品注册分类和技术要求不因相同活性成份的制剂在境内外获准上市而发生变化。药品注册分类在提出上市申请时确定。</w:t>
      </w:r>
    </w:p>
    <w:p w14:paraId="5CC30855" w14:textId="77777777" w:rsidR="00CD1AE1" w:rsidRDefault="00CD1AE1">
      <w:pPr>
        <w:spacing w:line="590" w:lineRule="exact"/>
        <w:ind w:firstLineChars="200" w:firstLine="640"/>
        <w:rPr>
          <w:rFonts w:eastAsia="黑体"/>
          <w:sz w:val="32"/>
          <w:szCs w:val="32"/>
        </w:rPr>
      </w:pPr>
      <w:r>
        <w:rPr>
          <w:rFonts w:eastAsia="黑体"/>
          <w:sz w:val="32"/>
          <w:szCs w:val="32"/>
        </w:rPr>
        <w:t>三、申报资料要求</w:t>
      </w:r>
    </w:p>
    <w:p w14:paraId="412386CF" w14:textId="77777777" w:rsidR="00CD1AE1" w:rsidRDefault="00CD1AE1">
      <w:pPr>
        <w:spacing w:line="590" w:lineRule="exact"/>
        <w:ind w:firstLineChars="200" w:firstLine="640"/>
        <w:rPr>
          <w:rFonts w:eastAsia="仿宋_GB2312"/>
          <w:sz w:val="32"/>
          <w:szCs w:val="32"/>
        </w:rPr>
      </w:pPr>
      <w:r>
        <w:rPr>
          <w:rFonts w:eastAsia="仿宋_GB2312"/>
          <w:sz w:val="32"/>
          <w:szCs w:val="32"/>
        </w:rPr>
        <w:lastRenderedPageBreak/>
        <w:t>（一）申请人提出药物临床试验、药品上市注册及化学原料药申请，应按照国家药品监管部门公布的相关技术指导原则的有关要求开展研究，并按照现行版《</w:t>
      </w:r>
      <w:r>
        <w:rPr>
          <w:rFonts w:eastAsia="仿宋_GB2312"/>
          <w:sz w:val="32"/>
          <w:szCs w:val="32"/>
        </w:rPr>
        <w:t>M4</w:t>
      </w:r>
      <w:r>
        <w:rPr>
          <w:rFonts w:eastAsia="仿宋_GB2312"/>
          <w:sz w:val="32"/>
          <w:szCs w:val="32"/>
        </w:rPr>
        <w:t>：人用药物注册申请通用技术文档（</w:t>
      </w:r>
      <w:r>
        <w:rPr>
          <w:rFonts w:eastAsia="仿宋_GB2312"/>
          <w:sz w:val="32"/>
          <w:szCs w:val="32"/>
        </w:rPr>
        <w:t>CTD</w:t>
      </w:r>
      <w:r>
        <w:rPr>
          <w:rFonts w:eastAsia="仿宋_GB2312"/>
          <w:sz w:val="32"/>
          <w:szCs w:val="32"/>
        </w:rPr>
        <w:t>）》</w:t>
      </w:r>
      <w:r>
        <w:rPr>
          <w:rFonts w:eastAsia="仿宋_GB2312" w:hint="eastAsia"/>
          <w:sz w:val="32"/>
          <w:szCs w:val="32"/>
        </w:rPr>
        <w:t>（</w:t>
      </w:r>
      <w:r>
        <w:rPr>
          <w:rFonts w:eastAsia="仿宋_GB2312"/>
          <w:sz w:val="32"/>
          <w:szCs w:val="32"/>
        </w:rPr>
        <w:t>以下简称</w:t>
      </w:r>
      <w:r>
        <w:rPr>
          <w:rFonts w:eastAsia="仿宋_GB2312"/>
          <w:sz w:val="32"/>
          <w:szCs w:val="32"/>
        </w:rPr>
        <w:t>CTD</w:t>
      </w:r>
      <w:r>
        <w:rPr>
          <w:rFonts w:eastAsia="仿宋_GB2312" w:hint="eastAsia"/>
          <w:sz w:val="32"/>
          <w:szCs w:val="32"/>
        </w:rPr>
        <w:t>）</w:t>
      </w:r>
      <w:r>
        <w:rPr>
          <w:rFonts w:eastAsia="仿宋_GB2312"/>
          <w:sz w:val="32"/>
          <w:szCs w:val="32"/>
        </w:rPr>
        <w:t>格式编号及项目顺序整理并提交申报资料。不适用的项目可合理缺项，但应标明不适用并说明理由。</w:t>
      </w:r>
    </w:p>
    <w:p w14:paraId="0AF79C8D" w14:textId="77777777" w:rsidR="00CD1AE1" w:rsidRDefault="00CD1AE1">
      <w:pPr>
        <w:spacing w:line="590" w:lineRule="exact"/>
        <w:ind w:firstLineChars="200" w:firstLine="640"/>
        <w:rPr>
          <w:rFonts w:eastAsia="仿宋_GB2312"/>
          <w:sz w:val="32"/>
          <w:szCs w:val="30"/>
        </w:rPr>
      </w:pPr>
      <w:r>
        <w:rPr>
          <w:rFonts w:eastAsia="仿宋_GB2312"/>
          <w:sz w:val="32"/>
          <w:szCs w:val="30"/>
        </w:rPr>
        <w:t>（二）申请人在完成临床试验提出药品上市注册申请时，应在</w:t>
      </w:r>
      <w:r>
        <w:rPr>
          <w:rFonts w:eastAsia="仿宋_GB2312"/>
          <w:sz w:val="32"/>
          <w:szCs w:val="30"/>
        </w:rPr>
        <w:t>CTD</w:t>
      </w:r>
      <w:r>
        <w:rPr>
          <w:rFonts w:eastAsia="仿宋_GB2312"/>
          <w:sz w:val="32"/>
          <w:szCs w:val="30"/>
        </w:rPr>
        <w:t>基础上提交</w:t>
      </w:r>
      <w:r>
        <w:rPr>
          <w:rFonts w:eastAsia="仿宋_GB2312" w:hint="eastAsia"/>
          <w:sz w:val="32"/>
          <w:szCs w:val="30"/>
        </w:rPr>
        <w:t>电子</w:t>
      </w:r>
      <w:r>
        <w:rPr>
          <w:rFonts w:eastAsia="仿宋_GB2312"/>
          <w:sz w:val="32"/>
          <w:szCs w:val="30"/>
        </w:rPr>
        <w:t>临床试验数据库。数据库格式以及相关文件等具体要求见临床试验数据递交相关指导原则。</w:t>
      </w:r>
    </w:p>
    <w:p w14:paraId="583D8F88" w14:textId="77777777" w:rsidR="00CD1AE1" w:rsidRDefault="00CD1AE1">
      <w:pPr>
        <w:spacing w:line="590" w:lineRule="exact"/>
        <w:ind w:firstLineChars="200" w:firstLine="640"/>
        <w:rPr>
          <w:rFonts w:eastAsia="仿宋_GB2312"/>
          <w:sz w:val="32"/>
          <w:szCs w:val="32"/>
        </w:rPr>
      </w:pPr>
      <w:r>
        <w:rPr>
          <w:rFonts w:eastAsia="仿宋_GB2312"/>
          <w:sz w:val="32"/>
          <w:szCs w:val="32"/>
        </w:rPr>
        <w:t>（三）国家药监局药审中心将根据药品审评工作需要，结合</w:t>
      </w:r>
      <w:r>
        <w:rPr>
          <w:rFonts w:eastAsia="仿宋_GB2312"/>
          <w:sz w:val="32"/>
          <w:szCs w:val="32"/>
        </w:rPr>
        <w:t>ICH</w:t>
      </w:r>
      <w:r>
        <w:rPr>
          <w:rFonts w:eastAsia="仿宋_GB2312"/>
          <w:sz w:val="32"/>
          <w:szCs w:val="32"/>
        </w:rPr>
        <w:t>技术指导原则修订情况，及时更新</w:t>
      </w:r>
      <w:r>
        <w:rPr>
          <w:rFonts w:eastAsia="仿宋_GB2312"/>
          <w:sz w:val="32"/>
          <w:szCs w:val="32"/>
        </w:rPr>
        <w:t>CTD</w:t>
      </w:r>
      <w:r>
        <w:rPr>
          <w:rFonts w:eastAsia="仿宋_GB2312"/>
          <w:sz w:val="32"/>
          <w:szCs w:val="32"/>
        </w:rPr>
        <w:t>文件并在中心网站发布。</w:t>
      </w:r>
    </w:p>
    <w:p w14:paraId="4CB84B18" w14:textId="77777777" w:rsidR="00CD1AE1" w:rsidRDefault="00CD1AE1">
      <w:pPr>
        <w:spacing w:line="600" w:lineRule="exact"/>
        <w:ind w:firstLineChars="200" w:firstLine="640"/>
        <w:rPr>
          <w:rFonts w:eastAsia="仿宋_GB2312"/>
          <w:sz w:val="32"/>
          <w:szCs w:val="32"/>
        </w:rPr>
      </w:pPr>
    </w:p>
    <w:p w14:paraId="5525A6C4" w14:textId="77777777" w:rsidR="00CD1AE1" w:rsidRDefault="00CD1AE1">
      <w:pPr>
        <w:spacing w:line="600" w:lineRule="exact"/>
        <w:ind w:firstLineChars="200" w:firstLine="640"/>
        <w:rPr>
          <w:rFonts w:eastAsia="仿宋_GB2312"/>
          <w:sz w:val="32"/>
          <w:szCs w:val="32"/>
        </w:rPr>
      </w:pPr>
    </w:p>
    <w:p w14:paraId="207B9F3F" w14:textId="77777777" w:rsidR="00CD1AE1" w:rsidRDefault="00CD1AE1">
      <w:pPr>
        <w:spacing w:line="600" w:lineRule="exact"/>
        <w:ind w:firstLineChars="200" w:firstLine="640"/>
        <w:rPr>
          <w:rFonts w:eastAsia="仿宋_GB2312"/>
          <w:sz w:val="32"/>
          <w:szCs w:val="32"/>
        </w:rPr>
      </w:pPr>
    </w:p>
    <w:p w14:paraId="4198F8E5" w14:textId="77777777" w:rsidR="00CD1AE1" w:rsidRDefault="00CD1AE1">
      <w:pPr>
        <w:spacing w:line="600" w:lineRule="exact"/>
        <w:ind w:firstLineChars="200" w:firstLine="640"/>
        <w:rPr>
          <w:rFonts w:eastAsia="仿宋_GB2312"/>
          <w:sz w:val="32"/>
          <w:szCs w:val="32"/>
        </w:rPr>
      </w:pPr>
    </w:p>
    <w:sectPr w:rsidR="00CD1AE1">
      <w:footerReference w:type="even" r:id="rId6"/>
      <w:footerReference w:type="default" r:id="rId7"/>
      <w:footerReference w:type="first" r:id="rId8"/>
      <w:pgSz w:w="11906" w:h="16838"/>
      <w:pgMar w:top="1928" w:right="1531" w:bottom="1814" w:left="1531" w:header="851" w:footer="1134"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50B26" w14:textId="77777777" w:rsidR="00535F65" w:rsidRDefault="00535F65">
      <w:r>
        <w:separator/>
      </w:r>
    </w:p>
  </w:endnote>
  <w:endnote w:type="continuationSeparator" w:id="0">
    <w:p w14:paraId="6788313B" w14:textId="77777777" w:rsidR="00535F65" w:rsidRDefault="005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3BE7" w14:textId="0DC3537D" w:rsidR="00CD1AE1" w:rsidRDefault="008F05FB">
    <w:pPr>
      <w:pStyle w:val="a4"/>
      <w:ind w:right="360"/>
    </w:pPr>
    <w:r>
      <w:rPr>
        <w:noProof/>
      </w:rPr>
      <mc:AlternateContent>
        <mc:Choice Requires="wps">
          <w:drawing>
            <wp:anchor distT="0" distB="0" distL="114300" distR="114300" simplePos="0" relativeHeight="251657728" behindDoc="0" locked="0" layoutInCell="1" allowOverlap="1" wp14:anchorId="71AF99EE" wp14:editId="51B4523A">
              <wp:simplePos x="0" y="0"/>
              <wp:positionH relativeFrom="margin">
                <wp:posOffset>0</wp:posOffset>
              </wp:positionH>
              <wp:positionV relativeFrom="paragraph">
                <wp:posOffset>-307340</wp:posOffset>
              </wp:positionV>
              <wp:extent cx="800735" cy="230505"/>
              <wp:effectExtent l="0" t="0" r="0" b="254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4573" w14:textId="77777777" w:rsidR="00CD1AE1" w:rsidRDefault="00CD1AE1">
                          <w:pPr>
                            <w:pStyle w:val="a4"/>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D32F45">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F99EE" id="_x0000_t202" coordsize="21600,21600" o:spt="202" path="m,l,21600r21600,l21600,xe">
              <v:stroke joinstyle="miter"/>
              <v:path gradientshapeok="t" o:connecttype="rect"/>
            </v:shapetype>
            <v:shape id="文本框 2" o:spid="_x0000_s1026" type="#_x0000_t202" style="position:absolute;margin-left:0;margin-top:-24.2pt;width:63.05pt;height:18.1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" filled="f" stroked="f">
              <v:textbox style="mso-fit-shape-to-text:t" inset="0,0,0,0">
                <w:txbxContent>
                  <w:p w14:paraId="51764573" w14:textId="77777777" w:rsidR="00CD1AE1" w:rsidRDefault="00CD1AE1">
                    <w:pPr>
                      <w:pStyle w:val="a4"/>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D32F45">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B087" w14:textId="0204D260" w:rsidR="00CD1AE1" w:rsidRDefault="008F05FB">
    <w:pPr>
      <w:pStyle w:val="a4"/>
      <w:wordWrap w:val="0"/>
      <w:jc w:val="right"/>
    </w:pPr>
    <w:r>
      <w:rPr>
        <w:noProof/>
      </w:rPr>
      <mc:AlternateContent>
        <mc:Choice Requires="wps">
          <w:drawing>
            <wp:anchor distT="0" distB="0" distL="114300" distR="114300" simplePos="0" relativeHeight="251656704" behindDoc="0" locked="0" layoutInCell="1" allowOverlap="1" wp14:anchorId="78B12150" wp14:editId="216A31CA">
              <wp:simplePos x="0" y="0"/>
              <wp:positionH relativeFrom="margin">
                <wp:posOffset>4815840</wp:posOffset>
              </wp:positionH>
              <wp:positionV relativeFrom="paragraph">
                <wp:posOffset>-296545</wp:posOffset>
              </wp:positionV>
              <wp:extent cx="800735" cy="230505"/>
              <wp:effectExtent l="0" t="0" r="3810" b="127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0057" w14:textId="77777777" w:rsidR="00CD1AE1" w:rsidRDefault="00CD1AE1">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32F45" w:rsidRPr="00D32F45">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12150" id="_x0000_t202" coordsize="21600,21600" o:spt="202" path="m,l,21600r21600,l21600,xe">
              <v:stroke joinstyle="miter"/>
              <v:path gradientshapeok="t" o:connecttype="rect"/>
            </v:shapetype>
            <v:shape id="文本框 1" o:spid="_x0000_s1027" type="#_x0000_t202" style="position:absolute;left:0;text-align:left;margin-left:379.2pt;margin-top:-23.35pt;width:63.05pt;height:18.1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" filled="f" stroked="f">
              <v:textbox style="mso-fit-shape-to-text:t" inset="0,0,0,0">
                <w:txbxContent>
                  <w:p w14:paraId="2C510057" w14:textId="77777777" w:rsidR="00CD1AE1" w:rsidRDefault="00CD1AE1">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32F45" w:rsidRPr="00D32F45">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BE29" w14:textId="72F88253" w:rsidR="00CD1AE1" w:rsidRDefault="008F05FB">
    <w:pPr>
      <w:pStyle w:val="a4"/>
    </w:pPr>
    <w:r>
      <w:rPr>
        <w:noProof/>
      </w:rPr>
      <mc:AlternateContent>
        <mc:Choice Requires="wps">
          <w:drawing>
            <wp:anchor distT="0" distB="0" distL="114300" distR="114300" simplePos="0" relativeHeight="251658752" behindDoc="0" locked="0" layoutInCell="1" allowOverlap="1" wp14:anchorId="3E5802F5" wp14:editId="76D20AE2">
              <wp:simplePos x="0" y="0"/>
              <wp:positionH relativeFrom="margin">
                <wp:posOffset>4638040</wp:posOffset>
              </wp:positionH>
              <wp:positionV relativeFrom="paragraph">
                <wp:posOffset>-304800</wp:posOffset>
              </wp:positionV>
              <wp:extent cx="978535" cy="230505"/>
              <wp:effectExtent l="0" t="0" r="635"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BE79" w14:textId="77777777" w:rsidR="00CD1AE1" w:rsidRDefault="00CD1AE1">
                          <w:pPr>
                            <w:pStyle w:val="a4"/>
                          </w:pPr>
                          <w:r>
                            <w:rPr>
                              <w:rFonts w:hint="eastAsia"/>
                              <w:color w:val="FFFFFF"/>
                              <w:sz w:val="28"/>
                              <w:szCs w:val="28"/>
                            </w:rPr>
                            <w:t>—</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32F45">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5802F5" id="_x0000_t202" coordsize="21600,21600" o:spt="202" path="m,l,21600r21600,l21600,xe">
              <v:stroke joinstyle="miter"/>
              <v:path gradientshapeok="t" o:connecttype="rect"/>
            </v:shapetype>
            <v:shape id="文本框 3" o:spid="_x0000_s1028" type="#_x0000_t202" style="position:absolute;margin-left:365.2pt;margin-top:-24pt;width:77.05pt;height:18.1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" filled="f" stroked="f">
              <v:textbox style="mso-fit-shape-to-text:t" inset="0,0,0,0">
                <w:txbxContent>
                  <w:p w14:paraId="63C7BE79" w14:textId="77777777" w:rsidR="00CD1AE1" w:rsidRDefault="00CD1AE1">
                    <w:pPr>
                      <w:pStyle w:val="a4"/>
                    </w:pPr>
                    <w:r>
                      <w:rPr>
                        <w:rFonts w:hint="eastAsia"/>
                        <w:color w:val="FFFFFF"/>
                        <w:sz w:val="28"/>
                        <w:szCs w:val="28"/>
                      </w:rPr>
                      <w:t>—</w:t>
                    </w: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32F45">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35FA" w14:textId="77777777" w:rsidR="00535F65" w:rsidRDefault="00535F65">
      <w:r>
        <w:separator/>
      </w:r>
    </w:p>
  </w:footnote>
  <w:footnote w:type="continuationSeparator" w:id="0">
    <w:p w14:paraId="6D5BF569" w14:textId="77777777" w:rsidR="00535F65" w:rsidRDefault="0053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E54D5"/>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35F65"/>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2314A"/>
    <w:rsid w:val="00840DEF"/>
    <w:rsid w:val="00845649"/>
    <w:rsid w:val="008457F1"/>
    <w:rsid w:val="00863C35"/>
    <w:rsid w:val="008857B8"/>
    <w:rsid w:val="008C461A"/>
    <w:rsid w:val="008C5ECE"/>
    <w:rsid w:val="008C74C4"/>
    <w:rsid w:val="008F05FB"/>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D1AE1"/>
    <w:rsid w:val="00CE7A0B"/>
    <w:rsid w:val="00D03FFD"/>
    <w:rsid w:val="00D0628A"/>
    <w:rsid w:val="00D1236C"/>
    <w:rsid w:val="00D32F45"/>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41125B4"/>
    <w:rsid w:val="05A3793D"/>
    <w:rsid w:val="05F648D0"/>
    <w:rsid w:val="076B265D"/>
    <w:rsid w:val="07BE7090"/>
    <w:rsid w:val="0A930E43"/>
    <w:rsid w:val="0FEF479F"/>
    <w:rsid w:val="11C10F20"/>
    <w:rsid w:val="12681CD2"/>
    <w:rsid w:val="13785752"/>
    <w:rsid w:val="13786A2D"/>
    <w:rsid w:val="13A926F0"/>
    <w:rsid w:val="145B4D45"/>
    <w:rsid w:val="15C3054E"/>
    <w:rsid w:val="160F4FC1"/>
    <w:rsid w:val="163D2AC6"/>
    <w:rsid w:val="1886044A"/>
    <w:rsid w:val="195D2C63"/>
    <w:rsid w:val="19FB4CF7"/>
    <w:rsid w:val="1A30201F"/>
    <w:rsid w:val="1A607659"/>
    <w:rsid w:val="1A812563"/>
    <w:rsid w:val="1C0963DC"/>
    <w:rsid w:val="1E3554C1"/>
    <w:rsid w:val="1F7D8242"/>
    <w:rsid w:val="203C32B5"/>
    <w:rsid w:val="20AF685A"/>
    <w:rsid w:val="20BB4F8D"/>
    <w:rsid w:val="235D2303"/>
    <w:rsid w:val="23AA4E39"/>
    <w:rsid w:val="23F60059"/>
    <w:rsid w:val="271D6161"/>
    <w:rsid w:val="297824B0"/>
    <w:rsid w:val="2ABA1F69"/>
    <w:rsid w:val="2C4F156E"/>
    <w:rsid w:val="2CDF724A"/>
    <w:rsid w:val="2ECE5C79"/>
    <w:rsid w:val="2ED43D21"/>
    <w:rsid w:val="2F3FF144"/>
    <w:rsid w:val="347769BD"/>
    <w:rsid w:val="34C27739"/>
    <w:rsid w:val="34F01BE6"/>
    <w:rsid w:val="35885E51"/>
    <w:rsid w:val="36912EE8"/>
    <w:rsid w:val="36B31595"/>
    <w:rsid w:val="373F7579"/>
    <w:rsid w:val="37D46332"/>
    <w:rsid w:val="38262751"/>
    <w:rsid w:val="38E34797"/>
    <w:rsid w:val="397C2BD9"/>
    <w:rsid w:val="3BA446AB"/>
    <w:rsid w:val="3F1BA126"/>
    <w:rsid w:val="40775295"/>
    <w:rsid w:val="42B03245"/>
    <w:rsid w:val="433E1BCB"/>
    <w:rsid w:val="436B15D9"/>
    <w:rsid w:val="444D3227"/>
    <w:rsid w:val="45386969"/>
    <w:rsid w:val="45403189"/>
    <w:rsid w:val="45492E01"/>
    <w:rsid w:val="458207CE"/>
    <w:rsid w:val="480775F0"/>
    <w:rsid w:val="483E0198"/>
    <w:rsid w:val="49466A20"/>
    <w:rsid w:val="4ABC7EA0"/>
    <w:rsid w:val="4AEF57A4"/>
    <w:rsid w:val="4B885F2E"/>
    <w:rsid w:val="4C0218F8"/>
    <w:rsid w:val="4F9B3F24"/>
    <w:rsid w:val="4F9FBCAA"/>
    <w:rsid w:val="4FC93C7D"/>
    <w:rsid w:val="500F53D1"/>
    <w:rsid w:val="517109E9"/>
    <w:rsid w:val="51BF58BF"/>
    <w:rsid w:val="52AA45AD"/>
    <w:rsid w:val="52CE3F94"/>
    <w:rsid w:val="57A86747"/>
    <w:rsid w:val="58343653"/>
    <w:rsid w:val="58D85BD6"/>
    <w:rsid w:val="596C1A46"/>
    <w:rsid w:val="59DC3D6B"/>
    <w:rsid w:val="5B664EC6"/>
    <w:rsid w:val="5D7911A8"/>
    <w:rsid w:val="5F8C32F3"/>
    <w:rsid w:val="61802536"/>
    <w:rsid w:val="619B52F5"/>
    <w:rsid w:val="622114AD"/>
    <w:rsid w:val="646C61AB"/>
    <w:rsid w:val="67471F37"/>
    <w:rsid w:val="683A3F92"/>
    <w:rsid w:val="6A5145A4"/>
    <w:rsid w:val="6AB35D02"/>
    <w:rsid w:val="6B190BE3"/>
    <w:rsid w:val="6C1A1161"/>
    <w:rsid w:val="6C9953AB"/>
    <w:rsid w:val="6F0D2F47"/>
    <w:rsid w:val="6F956C38"/>
    <w:rsid w:val="72081D48"/>
    <w:rsid w:val="72682F98"/>
    <w:rsid w:val="729F0CA6"/>
    <w:rsid w:val="73610760"/>
    <w:rsid w:val="73FF0DD5"/>
    <w:rsid w:val="75735AA8"/>
    <w:rsid w:val="76C47DB8"/>
    <w:rsid w:val="780D18CE"/>
    <w:rsid w:val="783A20A1"/>
    <w:rsid w:val="7A4564F1"/>
    <w:rsid w:val="7BD30ABD"/>
    <w:rsid w:val="7CFF8C70"/>
    <w:rsid w:val="7D6C5E3C"/>
    <w:rsid w:val="7D9B4F35"/>
    <w:rsid w:val="7EAAB7E9"/>
    <w:rsid w:val="7F1F9FFC"/>
    <w:rsid w:val="7F6FD9B9"/>
    <w:rsid w:val="7FD575C1"/>
    <w:rsid w:val="7FDFEB1B"/>
    <w:rsid w:val="7FF3B0CB"/>
    <w:rsid w:val="AEF63A42"/>
    <w:rsid w:val="AFFA7F5E"/>
    <w:rsid w:val="B697F515"/>
    <w:rsid w:val="BFF46D2D"/>
    <w:rsid w:val="BFF965F5"/>
    <w:rsid w:val="DFFB51D7"/>
    <w:rsid w:val="E8E951F3"/>
    <w:rsid w:val="EF7B6FDC"/>
    <w:rsid w:val="EFFEF1C2"/>
    <w:rsid w:val="F17FC74C"/>
    <w:rsid w:val="F257EDD2"/>
    <w:rsid w:val="F6CAD948"/>
    <w:rsid w:val="F7FFE940"/>
    <w:rsid w:val="FBDF5194"/>
    <w:rsid w:val="FF15E96F"/>
    <w:rsid w:val="FFE7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D8053"/>
  <w15:chartTrackingRefBased/>
  <w15:docId w15:val="{76E132D7-910D-42E6-B26A-92CCA57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link w:val="a4"/>
    <w:uiPriority w:val="99"/>
    <w:rPr>
      <w:kern w:val="2"/>
      <w:sz w:val="18"/>
      <w:szCs w:val="18"/>
    </w:rPr>
  </w:style>
  <w:style w:type="character" w:customStyle="1" w:styleId="Char0">
    <w:name w:val="页眉 Char"/>
    <w:link w:val="a5"/>
    <w:uiPriority w:val="99"/>
    <w:rPr>
      <w:kern w:val="2"/>
      <w:sz w:val="18"/>
      <w:szCs w:val="18"/>
    </w:rPr>
  </w:style>
  <w:style w:type="paragraph" w:styleId="a6">
    <w:name w:val="Document Map"/>
    <w:basedOn w:val="a"/>
    <w:semiHidden/>
    <w:pPr>
      <w:shd w:val="clear" w:color="auto" w:fill="000080"/>
    </w:p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1512</Characters>
  <Application>Microsoft Office Word</Application>
  <DocSecurity>0</DocSecurity>
  <Lines>12</Lines>
  <Paragraphs>3</Paragraphs>
  <ScaleCrop>false</ScaleCrop>
  <Company>Xtzj.Com</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Cyanboat Zhao</dc:creator>
  <cp:keywords/>
  <cp:lastModifiedBy>Cyanboat</cp:lastModifiedBy>
  <cp:revision>2</cp:revision>
  <cp:lastPrinted>2020-06-30T08:59:00Z</cp:lastPrinted>
  <dcterms:created xsi:type="dcterms:W3CDTF">2020-06-30T11:18:00Z</dcterms:created>
  <dcterms:modified xsi:type="dcterms:W3CDTF">2020-06-30T11:18:00Z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