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00" w:lineRule="auto"/>
        <w:ind w:right="221"/>
        <w:jc w:val="right"/>
        <w:rPr>
          <w:b/>
          <w:sz w:val="44"/>
          <w:szCs w:val="44"/>
        </w:rPr>
      </w:pPr>
    </w:p>
    <w:p>
      <w:pPr>
        <w:pStyle w:val="78"/>
        <w:rPr>
          <w:rFonts w:ascii="Times New Roman" w:eastAsia="黑体"/>
          <w:b w:val="0"/>
          <w:spacing w:val="-20"/>
          <w:w w:val="120"/>
          <w:sz w:val="44"/>
          <w:szCs w:val="44"/>
        </w:rPr>
      </w:pPr>
      <w:r>
        <w:rPr>
          <w:rFonts w:hint="eastAsia" w:ascii="Times New Roman" w:eastAsia="黑体"/>
          <w:b w:val="0"/>
          <w:spacing w:val="-20"/>
          <w:w w:val="120"/>
          <w:sz w:val="44"/>
          <w:szCs w:val="44"/>
        </w:rPr>
        <w:t>中华人民共和国认证认可行业标准</w:t>
      </w:r>
    </w:p>
    <w:p>
      <w:pPr>
        <w:pStyle w:val="52"/>
        <w:spacing w:before="0"/>
        <w:rPr>
          <w:rFonts w:eastAsia="黑体"/>
        </w:rPr>
      </w:pPr>
      <w:r>
        <w:rPr>
          <w:rFonts w:hint="eastAsia" w:eastAsia="黑体"/>
          <w:szCs w:val="28"/>
        </w:rPr>
        <w:t>RB/T xxx</w:t>
      </w:r>
      <w:r>
        <w:rPr>
          <w:rFonts w:eastAsia="黑体"/>
          <w:szCs w:val="28"/>
        </w:rPr>
        <w:t>-201</w:t>
      </w:r>
      <w:r>
        <w:rPr>
          <w:rFonts w:hint="eastAsia" w:eastAsia="黑体"/>
          <w:szCs w:val="28"/>
        </w:rPr>
        <w:t>x</w:t>
      </w:r>
    </w:p>
    <w:p>
      <w:pPr>
        <w:tabs>
          <w:tab w:val="right" w:pos="8306"/>
        </w:tabs>
        <w:spacing w:line="300" w:lineRule="auto"/>
        <w:ind w:right="-10" w:rightChars="-5"/>
      </w:pPr>
      <w:r>
        <w:rPr>
          <w:rFonts w:ascii="Times New Roman" w:hAnsi="Times New Roman" w:eastAsia="宋体" w:cs="Times New Roman"/>
          <w:kern w:val="2"/>
          <w:sz w:val="21"/>
          <w:szCs w:val="24"/>
          <w:lang w:val="en-US" w:eastAsia="zh-CN" w:bidi="ar-SA"/>
        </w:rPr>
        <w:pict>
          <v:line id="Line 2" o:spid="_x0000_s1025" style="position:absolute;left:0;margin-left:-17.65pt;margin-top:3.9pt;height:0.05pt;width:485.9pt;rotation:0f;z-index:251658240;" o:ole="f" fillcolor="#FFFFFF" filled="f" o:preferrelative="t" stroked="t" coordsize="21600,21600">
            <v:fill on="f" color2="#FFFFFF" focus="0%"/>
            <v:stroke color="#000000" color2="#FFFFFF" opacity="100%" joinstyle="round"/>
            <v:imagedata gain="65536f" blacklevel="0f" gamma="0"/>
            <o:lock v:ext="edit" position="f" selection="f" grouping="f" rotation="f" cropping="f" text="f" aspectratio="f"/>
          </v:line>
        </w:pict>
      </w:r>
    </w:p>
    <w:p>
      <w:pPr>
        <w:pStyle w:val="71"/>
        <w:jc w:val="center"/>
        <w:rPr>
          <w:rFonts w:ascii="Times New Roman" w:hAnsi="Times New Roman" w:cs="Times New Roman"/>
        </w:rPr>
      </w:pPr>
    </w:p>
    <w:p>
      <w:pPr>
        <w:pStyle w:val="71"/>
        <w:jc w:val="center"/>
        <w:rPr>
          <w:rFonts w:ascii="Times New Roman" w:hAnsi="Times New Roman" w:cs="Times New Roman"/>
        </w:rPr>
      </w:pPr>
    </w:p>
    <w:p>
      <w:pPr>
        <w:pStyle w:val="71"/>
        <w:jc w:val="center"/>
        <w:rPr>
          <w:rFonts w:ascii="Times New Roman" w:hAnsi="Times New Roman" w:cs="Times New Roman"/>
        </w:rPr>
      </w:pPr>
    </w:p>
    <w:p>
      <w:pPr>
        <w:spacing w:line="360" w:lineRule="auto"/>
        <w:jc w:val="center"/>
        <w:rPr>
          <w:sz w:val="52"/>
          <w:szCs w:val="52"/>
        </w:rPr>
      </w:pPr>
      <w:r>
        <w:rPr>
          <w:rFonts w:hint="eastAsia" w:eastAsia="黑体"/>
          <w:kern w:val="0"/>
          <w:sz w:val="52"/>
          <w:szCs w:val="52"/>
        </w:rPr>
        <w:t>多能互补能源系统验收指南</w:t>
      </w:r>
    </w:p>
    <w:p>
      <w:pPr>
        <w:pStyle w:val="46"/>
        <w:jc w:val="both"/>
        <w:rPr>
          <w:rFonts w:ascii="Times New Roman"/>
        </w:rPr>
      </w:pPr>
    </w:p>
    <w:p>
      <w:pPr>
        <w:jc w:val="center"/>
        <w:rPr>
          <w:rFonts w:ascii="黑体" w:hAnsi="黑体" w:eastAsia="黑体" w:cs="黑体"/>
        </w:rPr>
      </w:pPr>
      <w:r>
        <w:rPr>
          <w:rFonts w:hint="eastAsia" w:ascii="黑体" w:hAnsi="黑体" w:eastAsia="黑体" w:cs="黑体"/>
        </w:rPr>
        <w:t>Guideline of A</w:t>
      </w:r>
      <w:r>
        <w:rPr>
          <w:rFonts w:ascii="黑体" w:hAnsi="黑体" w:eastAsia="黑体" w:cs="黑体"/>
        </w:rPr>
        <w:t>cceptance</w:t>
      </w:r>
      <w:r>
        <w:rPr>
          <w:rFonts w:hint="eastAsia" w:ascii="黑体" w:hAnsi="黑体" w:eastAsia="黑体" w:cs="黑体"/>
        </w:rPr>
        <w:t xml:space="preserve"> for </w:t>
      </w:r>
      <w:r>
        <w:rPr>
          <w:rFonts w:ascii="黑体" w:hAnsi="黑体" w:eastAsia="黑体" w:cs="黑体"/>
        </w:rPr>
        <w:t>Multi-energy complementary energy system</w:t>
      </w:r>
    </w:p>
    <w:p>
      <w:pPr>
        <w:pStyle w:val="71"/>
        <w:spacing w:after="240" w:afterAutospacing="0" w:line="300" w:lineRule="exact"/>
        <w:jc w:val="center"/>
        <w:rPr>
          <w:rFonts w:ascii="Times New Roman" w:hAnsi="Times New Roman" w:cs="Times New Roman"/>
        </w:rPr>
      </w:pPr>
      <w:r>
        <w:rPr>
          <w:rFonts w:ascii="Times New Roman" w:hAnsi="Times New Roman" w:eastAsia="黑体" w:cs="Times New Roman"/>
        </w:rPr>
        <w:br/>
      </w:r>
      <w:r>
        <w:rPr>
          <w:rFonts w:hint="eastAsia" w:ascii="Times New Roman" w:hAnsi="Times New Roman" w:eastAsia="黑体" w:cs="Times New Roman"/>
        </w:rPr>
        <w:t>（征求意见稿）</w:t>
      </w:r>
      <w:r>
        <w:rPr>
          <w:rFonts w:ascii="Times New Roman" w:hAnsi="Times New Roman" w:cs="Times New Roman"/>
        </w:rPr>
        <w:br/>
      </w:r>
      <w:r>
        <w:rPr>
          <w:rFonts w:ascii="Times New Roman" w:hAnsi="Times New Roman" w:eastAsia="黑体" w:cs="Times New Roman"/>
        </w:rPr>
        <w:br/>
      </w:r>
      <w:r>
        <w:rPr>
          <w:rFonts w:ascii="Times New Roman" w:hAnsi="Times New Roman" w:eastAsia="黑体" w:cs="Times New Roman"/>
        </w:rPr>
        <w:br/>
      </w:r>
      <w:r>
        <w:rPr>
          <w:rFonts w:ascii="Times New Roman" w:hAnsi="Times New Roman" w:eastAsia="黑体" w:cs="Times New Roman"/>
        </w:rPr>
        <w:br/>
      </w:r>
      <w:r>
        <w:rPr>
          <w:rFonts w:ascii="Times New Roman" w:hAnsi="Times New Roman" w:eastAsia="黑体" w:cs="Times New Roman"/>
        </w:rPr>
        <w:br/>
      </w:r>
      <w:r>
        <w:rPr>
          <w:rFonts w:ascii="Times New Roman" w:hAnsi="Times New Roman" w:eastAsia="黑体" w:cs="Times New Roman"/>
        </w:rPr>
        <w:br/>
      </w:r>
      <w:r>
        <w:rPr>
          <w:rFonts w:ascii="Times New Roman" w:hAnsi="Times New Roman" w:eastAsia="黑体" w:cs="Times New Roman"/>
        </w:rPr>
        <w:br/>
      </w:r>
      <w:r>
        <w:rPr>
          <w:rFonts w:ascii="Times New Roman" w:hAnsi="Times New Roman" w:cs="Times New Roman"/>
        </w:rPr>
        <w:br/>
      </w:r>
    </w:p>
    <w:p>
      <w:pPr>
        <w:pStyle w:val="71"/>
        <w:spacing w:after="240" w:afterAutospacing="0" w:line="300" w:lineRule="exact"/>
        <w:jc w:val="center"/>
        <w:rPr>
          <w:rFonts w:ascii="Times New Roman" w:hAnsi="Times New Roman" w:cs="Times New Roman"/>
        </w:rPr>
      </w:pPr>
      <w:r>
        <w:rPr>
          <w:rFonts w:ascii="Times New Roman" w:hAnsi="Times New Roman" w:cs="Times New Roman"/>
        </w:rPr>
        <w:br/>
      </w:r>
    </w:p>
    <w:p>
      <w:pPr>
        <w:pStyle w:val="71"/>
        <w:spacing w:after="240" w:afterAutospacing="0"/>
        <w:rPr>
          <w:rFonts w:ascii="Times New Roman" w:hAnsi="Times New Roman" w:cs="Times New Roman"/>
        </w:rPr>
      </w:pPr>
    </w:p>
    <w:p>
      <w:pPr>
        <w:tabs>
          <w:tab w:val="left" w:pos="6836"/>
        </w:tabs>
        <w:spacing w:line="300" w:lineRule="auto"/>
        <w:rPr>
          <w:rFonts w:ascii="黑体" w:hAnsi="黑体" w:eastAsia="黑体" w:cs="黑体"/>
          <w:sz w:val="28"/>
          <w:szCs w:val="28"/>
        </w:rPr>
      </w:pPr>
      <w:r>
        <w:rPr>
          <w:rFonts w:ascii="黑体" w:hAnsi="黑体" w:eastAsia="黑体" w:cs="黑体"/>
          <w:kern w:val="2"/>
          <w:sz w:val="28"/>
          <w:szCs w:val="28"/>
          <w:lang w:val="en-US" w:eastAsia="zh-CN" w:bidi="ar-SA"/>
        </w:rPr>
        <w:pict>
          <v:line id="Line 3" o:spid="_x0000_s1026" style="position:absolute;left:0;margin-left:-8.65pt;margin-top:26.8pt;height:0.05pt;width:458.9pt;rotation:0f;z-index:251659264;" o:ole="f" fillcolor="#FFFFFF" filled="f" o:preferrelative="t" stroked="t" coordsize="21600,21600">
            <v:fill on="f" color2="#FFFFFF" focus="0%"/>
            <v:stroke color="#000000" color2="#FFFFFF" opacity="100%" joinstyle="round"/>
            <v:imagedata gain="65536f" blacklevel="0f" gamma="0"/>
            <o:lock v:ext="edit" position="f" selection="f" grouping="f" rotation="f" cropping="f" text="f" aspectratio="f"/>
          </v:line>
        </w:pict>
      </w:r>
      <w:r>
        <w:rPr>
          <w:rFonts w:hint="eastAsia" w:ascii="黑体" w:hAnsi="黑体" w:eastAsia="黑体" w:cs="黑体"/>
          <w:sz w:val="28"/>
          <w:szCs w:val="28"/>
        </w:rPr>
        <w:t>201X-XX-XX发布</w:t>
      </w:r>
      <w:r>
        <w:rPr>
          <w:rFonts w:hint="eastAsia" w:ascii="黑体" w:hAnsi="黑体" w:eastAsia="黑体" w:cs="黑体"/>
          <w:sz w:val="28"/>
          <w:szCs w:val="28"/>
        </w:rPr>
        <w:tab/>
      </w:r>
      <w:r>
        <w:rPr>
          <w:rFonts w:hint="eastAsia" w:ascii="黑体" w:hAnsi="黑体" w:eastAsia="黑体" w:cs="黑体"/>
          <w:sz w:val="28"/>
          <w:szCs w:val="28"/>
        </w:rPr>
        <w:t>201X-XX-XX实施</w:t>
      </w:r>
    </w:p>
    <w:p>
      <w:pPr>
        <w:tabs>
          <w:tab w:val="right" w:pos="8306"/>
        </w:tabs>
        <w:spacing w:line="300" w:lineRule="auto"/>
        <w:jc w:val="center"/>
        <w:rPr>
          <w:rFonts w:ascii="黑体" w:hAnsi="黑体" w:eastAsia="黑体" w:cs="黑体"/>
          <w:bCs/>
          <w:w w:val="120"/>
          <w:sz w:val="28"/>
          <w:szCs w:val="28"/>
        </w:rPr>
      </w:pPr>
      <w:r>
        <w:rPr>
          <w:rFonts w:hint="eastAsia" w:ascii="黑体" w:hAnsi="黑体" w:eastAsia="黑体" w:cs="黑体"/>
          <w:bCs/>
          <w:spacing w:val="62"/>
          <w:w w:val="120"/>
          <w:kern w:val="0"/>
          <w:sz w:val="28"/>
          <w:szCs w:val="28"/>
        </w:rPr>
        <w:t>中国国家认证认可监督管理委员会</w:t>
      </w:r>
      <w:r>
        <w:rPr>
          <w:rFonts w:hint="eastAsia" w:ascii="黑体" w:hAnsi="黑体" w:eastAsia="黑体" w:cs="黑体"/>
          <w:bCs/>
          <w:w w:val="120"/>
          <w:sz w:val="28"/>
          <w:szCs w:val="28"/>
        </w:rPr>
        <w:t xml:space="preserve">  发 布</w:t>
      </w:r>
    </w:p>
    <w:p>
      <w:pPr>
        <w:tabs>
          <w:tab w:val="right" w:pos="8306"/>
        </w:tabs>
        <w:spacing w:line="300" w:lineRule="auto"/>
        <w:jc w:val="center"/>
        <w:sectPr>
          <w:headerReference r:id="rId4" w:type="default"/>
          <w:pgSz w:w="11906" w:h="16838"/>
          <w:pgMar w:top="1440" w:right="1134" w:bottom="1440" w:left="1418" w:header="851" w:footer="992" w:gutter="0"/>
          <w:pgNumType w:start="4"/>
          <w:cols w:space="720" w:num="1"/>
          <w:docGrid w:type="lines" w:linePitch="312"/>
        </w:sectPr>
      </w:pPr>
    </w:p>
    <w:p>
      <w:pPr>
        <w:tabs>
          <w:tab w:val="right" w:pos="8306"/>
        </w:tabs>
        <w:spacing w:line="300" w:lineRule="auto"/>
        <w:jc w:val="center"/>
        <w:rPr>
          <w:rFonts w:ascii="黑体" w:hAnsi="黑体" w:eastAsia="黑体" w:cs="黑体"/>
          <w:sz w:val="32"/>
          <w:szCs w:val="32"/>
        </w:rPr>
      </w:pPr>
      <w:r>
        <w:rPr>
          <w:rFonts w:hint="eastAsia" w:ascii="黑体" w:hAnsi="黑体" w:eastAsia="黑体" w:cs="黑体"/>
          <w:sz w:val="32"/>
          <w:szCs w:val="32"/>
        </w:rPr>
        <w:t>目  录</w:t>
      </w:r>
    </w:p>
    <w:p>
      <w:pPr>
        <w:pStyle w:val="26"/>
        <w:tabs>
          <w:tab w:val="right" w:leader="dot" w:pos="9354"/>
        </w:tabs>
        <w:rPr>
          <w:rFonts w:eastAsia="黑体"/>
          <w:szCs w:val="21"/>
        </w:rPr>
      </w:pPr>
    </w:p>
    <w:p>
      <w:pPr>
        <w:pStyle w:val="26"/>
        <w:tabs>
          <w:tab w:val="right" w:leader="dot" w:pos="9344"/>
        </w:tabs>
        <w:rPr>
          <w:rFonts w:ascii="Calibri" w:hAnsi="Calibri" w:eastAsia="宋体" w:cs="黑体"/>
          <w:szCs w:val="22"/>
        </w:rPr>
      </w:pPr>
      <w:r>
        <w:rPr>
          <w:rFonts w:eastAsia="黑体"/>
          <w:szCs w:val="21"/>
        </w:rPr>
        <w:fldChar w:fldCharType="begin"/>
      </w:r>
      <w:r>
        <w:rPr>
          <w:rFonts w:eastAsia="黑体"/>
          <w:szCs w:val="21"/>
        </w:rPr>
        <w:instrText xml:space="preserve"> TOC \o "1-2" \h \z \u </w:instrText>
      </w:r>
      <w:r>
        <w:rPr>
          <w:rFonts w:eastAsia="黑体"/>
          <w:szCs w:val="21"/>
        </w:rPr>
        <w:fldChar w:fldCharType="separate"/>
      </w:r>
      <w:r>
        <w:fldChar w:fldCharType="begin"/>
      </w:r>
      <w:r>
        <w:instrText xml:space="preserve">HYPERLINK  \l "_Toc27746877" </w:instrText>
      </w:r>
      <w:r>
        <w:fldChar w:fldCharType="separate"/>
      </w:r>
      <w:r>
        <w:rPr>
          <w:rStyle w:val="30"/>
          <w:rFonts w:ascii="黑体" w:hAnsi="黑体" w:eastAsia="黑体" w:cs="黑体"/>
        </w:rPr>
        <w:t>前  言</w:t>
      </w:r>
      <w:r>
        <w:tab/>
      </w:r>
      <w:r>
        <w:fldChar w:fldCharType="begin"/>
      </w:r>
      <w:r>
        <w:instrText xml:space="preserve"> PAGEREF _Toc27746877 \h </w:instrText>
      </w:r>
      <w:r>
        <w:fldChar w:fldCharType="separate"/>
      </w:r>
      <w:r>
        <w:t>II</w:t>
      </w:r>
      <w:r>
        <w:fldChar w:fldCharType="end"/>
      </w:r>
      <w:r>
        <w:fldChar w:fldCharType="end"/>
      </w:r>
    </w:p>
    <w:p>
      <w:pPr>
        <w:pStyle w:val="23"/>
        <w:rPr>
          <w:rFonts w:ascii="Calibri" w:hAnsi="Calibri" w:eastAsia="宋体" w:cs="黑体"/>
          <w:kern w:val="2"/>
          <w:szCs w:val="22"/>
        </w:rPr>
      </w:pPr>
      <w:r>
        <w:fldChar w:fldCharType="begin"/>
      </w:r>
      <w:r>
        <w:instrText xml:space="preserve">HYPERLINK  \l "_Toc27746878" </w:instrText>
      </w:r>
      <w:r>
        <w:fldChar w:fldCharType="separate"/>
      </w:r>
      <w:r>
        <w:rPr>
          <w:rStyle w:val="30"/>
          <w:rFonts w:ascii="黑体" w:hAnsi="黑体" w:eastAsia="黑体"/>
        </w:rPr>
        <w:t>1  范围</w:t>
      </w:r>
      <w:r>
        <w:tab/>
      </w:r>
      <w:r>
        <w:fldChar w:fldCharType="begin"/>
      </w:r>
      <w:r>
        <w:instrText xml:space="preserve"> PAGEREF _Toc27746878 \h </w:instrText>
      </w:r>
      <w:r>
        <w:fldChar w:fldCharType="separate"/>
      </w:r>
      <w:r>
        <w:t>1</w:t>
      </w:r>
      <w:r>
        <w:fldChar w:fldCharType="end"/>
      </w:r>
      <w:r>
        <w:fldChar w:fldCharType="end"/>
      </w:r>
    </w:p>
    <w:p>
      <w:pPr>
        <w:pStyle w:val="23"/>
        <w:rPr>
          <w:rFonts w:ascii="Calibri" w:hAnsi="Calibri" w:eastAsia="宋体" w:cs="黑体"/>
          <w:kern w:val="2"/>
          <w:szCs w:val="22"/>
        </w:rPr>
      </w:pPr>
      <w:r>
        <w:fldChar w:fldCharType="begin"/>
      </w:r>
      <w:r>
        <w:instrText xml:space="preserve">HYPERLINK  \l "_Toc27746879" </w:instrText>
      </w:r>
      <w:r>
        <w:fldChar w:fldCharType="separate"/>
      </w:r>
      <w:r>
        <w:rPr>
          <w:rStyle w:val="30"/>
          <w:rFonts w:ascii="黑体" w:hAnsi="黑体" w:eastAsia="黑体"/>
        </w:rPr>
        <w:t>2  规范性引用文件</w:t>
      </w:r>
      <w:r>
        <w:tab/>
      </w:r>
      <w:r>
        <w:fldChar w:fldCharType="begin"/>
      </w:r>
      <w:r>
        <w:instrText xml:space="preserve"> PAGEREF _Toc27746879 \h </w:instrText>
      </w:r>
      <w:r>
        <w:fldChar w:fldCharType="separate"/>
      </w:r>
      <w:r>
        <w:t>1</w:t>
      </w:r>
      <w:r>
        <w:fldChar w:fldCharType="end"/>
      </w:r>
      <w:r>
        <w:fldChar w:fldCharType="end"/>
      </w:r>
    </w:p>
    <w:p>
      <w:pPr>
        <w:pStyle w:val="23"/>
        <w:rPr>
          <w:rFonts w:ascii="Calibri" w:hAnsi="Calibri" w:eastAsia="宋体" w:cs="黑体"/>
          <w:kern w:val="2"/>
          <w:szCs w:val="22"/>
        </w:rPr>
      </w:pPr>
      <w:r>
        <w:fldChar w:fldCharType="begin"/>
      </w:r>
      <w:r>
        <w:instrText xml:space="preserve">HYPERLINK  \l "_Toc27746880" </w:instrText>
      </w:r>
      <w:r>
        <w:fldChar w:fldCharType="separate"/>
      </w:r>
      <w:r>
        <w:rPr>
          <w:rStyle w:val="30"/>
          <w:rFonts w:ascii="黑体" w:hAnsi="黑体" w:eastAsia="黑体"/>
        </w:rPr>
        <w:t>3  术语和定义</w:t>
      </w:r>
      <w:r>
        <w:tab/>
      </w:r>
      <w:r>
        <w:fldChar w:fldCharType="begin"/>
      </w:r>
      <w:r>
        <w:instrText xml:space="preserve"> PAGEREF _Toc27746880 \h </w:instrText>
      </w:r>
      <w:r>
        <w:fldChar w:fldCharType="separate"/>
      </w:r>
      <w:r>
        <w:t>1</w:t>
      </w:r>
      <w:r>
        <w:fldChar w:fldCharType="end"/>
      </w:r>
      <w:r>
        <w:fldChar w:fldCharType="end"/>
      </w:r>
    </w:p>
    <w:p>
      <w:pPr>
        <w:pStyle w:val="23"/>
        <w:rPr>
          <w:rFonts w:ascii="Calibri" w:hAnsi="Calibri" w:eastAsia="宋体" w:cs="黑体"/>
          <w:kern w:val="2"/>
          <w:szCs w:val="22"/>
        </w:rPr>
      </w:pPr>
      <w:r>
        <w:fldChar w:fldCharType="begin"/>
      </w:r>
      <w:r>
        <w:instrText xml:space="preserve">HYPERLINK  \l "_Toc27746881" </w:instrText>
      </w:r>
      <w:r>
        <w:fldChar w:fldCharType="separate"/>
      </w:r>
      <w:r>
        <w:rPr>
          <w:rStyle w:val="30"/>
          <w:rFonts w:ascii="黑体" w:hAnsi="黑体" w:eastAsia="黑体"/>
        </w:rPr>
        <w:t>4  一般规定</w:t>
      </w:r>
      <w:r>
        <w:tab/>
      </w:r>
      <w:r>
        <w:fldChar w:fldCharType="begin"/>
      </w:r>
      <w:r>
        <w:instrText xml:space="preserve"> PAGEREF _Toc27746881 \h </w:instrText>
      </w:r>
      <w:r>
        <w:fldChar w:fldCharType="separate"/>
      </w:r>
      <w:r>
        <w:t>3</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"_Toc27746882" </w:instrText>
      </w:r>
      <w:r>
        <w:fldChar w:fldCharType="separate"/>
      </w:r>
      <w:r>
        <w:rPr>
          <w:rStyle w:val="30"/>
          <w:rFonts w:ascii="黑体" w:hAnsi="黑体" w:eastAsia="黑体" w:cs="黑体"/>
        </w:rPr>
        <w:t>4.1 组织形式</w:t>
      </w:r>
      <w:r>
        <w:tab/>
      </w:r>
      <w:r>
        <w:fldChar w:fldCharType="begin"/>
      </w:r>
      <w:r>
        <w:instrText xml:space="preserve"> PAGEREF _Toc27746882 \h </w:instrText>
      </w:r>
      <w:r>
        <w:fldChar w:fldCharType="separate"/>
      </w:r>
      <w:r>
        <w:t>3</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"_Toc27746883" </w:instrText>
      </w:r>
      <w:r>
        <w:fldChar w:fldCharType="separate"/>
      </w:r>
      <w:r>
        <w:rPr>
          <w:rStyle w:val="30"/>
          <w:rFonts w:ascii="黑体" w:hAnsi="黑体" w:eastAsia="黑体" w:cs="黑体"/>
        </w:rPr>
        <w:t>4.2 验收条件</w:t>
      </w:r>
      <w:r>
        <w:tab/>
      </w:r>
      <w:r>
        <w:fldChar w:fldCharType="begin"/>
      </w:r>
      <w:r>
        <w:instrText xml:space="preserve"> PAGEREF _Toc27746883 \h </w:instrText>
      </w:r>
      <w:r>
        <w:fldChar w:fldCharType="separate"/>
      </w:r>
      <w:r>
        <w:t>3</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"_Toc27746884" </w:instrText>
      </w:r>
      <w:r>
        <w:fldChar w:fldCharType="separate"/>
      </w:r>
      <w:r>
        <w:rPr>
          <w:rStyle w:val="30"/>
          <w:rFonts w:ascii="黑体" w:hAnsi="黑体" w:eastAsia="黑体" w:cs="黑体"/>
        </w:rPr>
        <w:t>4.3 验收内容</w:t>
      </w:r>
      <w:r>
        <w:tab/>
      </w:r>
      <w:r>
        <w:fldChar w:fldCharType="begin"/>
      </w:r>
      <w:r>
        <w:instrText xml:space="preserve"> PAGEREF _Toc27746884 \h </w:instrText>
      </w:r>
      <w:r>
        <w:fldChar w:fldCharType="separate"/>
      </w:r>
      <w:r>
        <w:t>3</w:t>
      </w:r>
      <w:r>
        <w:fldChar w:fldCharType="end"/>
      </w:r>
      <w:r>
        <w:fldChar w:fldCharType="end"/>
      </w:r>
    </w:p>
    <w:p>
      <w:pPr>
        <w:pStyle w:val="23"/>
        <w:rPr>
          <w:rFonts w:ascii="Calibri" w:hAnsi="Calibri" w:eastAsia="宋体" w:cs="黑体"/>
          <w:kern w:val="2"/>
          <w:szCs w:val="22"/>
        </w:rPr>
      </w:pPr>
      <w:r>
        <w:fldChar w:fldCharType="begin"/>
      </w:r>
      <w:r>
        <w:instrText xml:space="preserve">HYPERLINK  \l "_Toc27746885" </w:instrText>
      </w:r>
      <w:r>
        <w:fldChar w:fldCharType="separate"/>
      </w:r>
      <w:r>
        <w:rPr>
          <w:rStyle w:val="30"/>
          <w:rFonts w:ascii="黑体" w:hAnsi="黑体" w:eastAsia="黑体"/>
        </w:rPr>
        <w:t>5  验收资料检查</w:t>
      </w:r>
      <w:r>
        <w:tab/>
      </w:r>
      <w:r>
        <w:fldChar w:fldCharType="begin"/>
      </w:r>
      <w:r>
        <w:instrText xml:space="preserve"> PAGEREF _Toc27746885 \h </w:instrText>
      </w:r>
      <w:r>
        <w:fldChar w:fldCharType="separate"/>
      </w:r>
      <w:r>
        <w:t>3</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"_Toc27746886" </w:instrText>
      </w:r>
      <w:r>
        <w:fldChar w:fldCharType="separate"/>
      </w:r>
      <w:r>
        <w:rPr>
          <w:rStyle w:val="30"/>
          <w:rFonts w:ascii="黑体" w:hAnsi="黑体" w:eastAsia="黑体" w:cs="黑体"/>
        </w:rPr>
        <w:t>5.1 基础文件检查</w:t>
      </w:r>
      <w:r>
        <w:tab/>
      </w:r>
      <w:r>
        <w:fldChar w:fldCharType="begin"/>
      </w:r>
      <w:r>
        <w:instrText xml:space="preserve"> PAGEREF _Toc27746886 \h </w:instrText>
      </w:r>
      <w:r>
        <w:fldChar w:fldCharType="separate"/>
      </w:r>
      <w:r>
        <w:t>3</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"_Toc27746887" </w:instrText>
      </w:r>
      <w:r>
        <w:fldChar w:fldCharType="separate"/>
      </w:r>
      <w:r>
        <w:rPr>
          <w:rStyle w:val="30"/>
          <w:rFonts w:ascii="黑体" w:hAnsi="黑体" w:eastAsia="黑体" w:cs="黑体"/>
        </w:rPr>
        <w:t>5.2 系统设备合同符合性检查</w:t>
      </w:r>
      <w:r>
        <w:tab/>
      </w:r>
      <w:r>
        <w:fldChar w:fldCharType="begin"/>
      </w:r>
      <w:r>
        <w:instrText xml:space="preserve"> PAGEREF _Toc27746887 \h </w:instrText>
      </w:r>
      <w:r>
        <w:fldChar w:fldCharType="separate"/>
      </w:r>
      <w:r>
        <w:t>4</w:t>
      </w:r>
      <w:r>
        <w:fldChar w:fldCharType="end"/>
      </w:r>
      <w:r>
        <w:fldChar w:fldCharType="end"/>
      </w:r>
    </w:p>
    <w:p>
      <w:pPr>
        <w:pStyle w:val="23"/>
        <w:rPr>
          <w:rFonts w:ascii="Calibri" w:hAnsi="Calibri" w:eastAsia="宋体" w:cs="黑体"/>
          <w:kern w:val="2"/>
          <w:szCs w:val="22"/>
        </w:rPr>
      </w:pPr>
      <w:r>
        <w:fldChar w:fldCharType="begin"/>
      </w:r>
      <w:r>
        <w:instrText xml:space="preserve">HYPERLINK  \l "_Toc27746888" </w:instrText>
      </w:r>
      <w:r>
        <w:fldChar w:fldCharType="separate"/>
      </w:r>
      <w:r>
        <w:rPr>
          <w:rStyle w:val="30"/>
          <w:rFonts w:ascii="黑体" w:hAnsi="黑体" w:eastAsia="黑体"/>
        </w:rPr>
        <w:t>6  多能互补系统土建及设备安装检查</w:t>
      </w:r>
      <w:r>
        <w:tab/>
      </w:r>
      <w:r>
        <w:fldChar w:fldCharType="begin"/>
      </w:r>
      <w:r>
        <w:instrText xml:space="preserve"> PAGEREF _Toc27746888 \h </w:instrText>
      </w:r>
      <w:r>
        <w:fldChar w:fldCharType="separate"/>
      </w:r>
      <w:r>
        <w:t>4</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"_Toc27746889" </w:instrText>
      </w:r>
      <w:r>
        <w:fldChar w:fldCharType="separate"/>
      </w:r>
      <w:r>
        <w:rPr>
          <w:rStyle w:val="30"/>
          <w:rFonts w:ascii="黑体" w:hAnsi="黑体" w:eastAsia="黑体" w:cs="黑体"/>
        </w:rPr>
        <w:t>6.1 土建工程检查</w:t>
      </w:r>
      <w:r>
        <w:tab/>
      </w:r>
      <w:r>
        <w:fldChar w:fldCharType="begin"/>
      </w:r>
      <w:r>
        <w:instrText xml:space="preserve"> PAGEREF _Toc27746889 \h </w:instrText>
      </w:r>
      <w:r>
        <w:fldChar w:fldCharType="separate"/>
      </w:r>
      <w:r>
        <w:t>4</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"_Toc27746890" </w:instrText>
      </w:r>
      <w:r>
        <w:fldChar w:fldCharType="separate"/>
      </w:r>
      <w:r>
        <w:rPr>
          <w:rStyle w:val="30"/>
          <w:rFonts w:ascii="黑体" w:hAnsi="黑体" w:eastAsia="黑体" w:cs="黑体"/>
        </w:rPr>
        <w:t>6.2 设备安装工程检查</w:t>
      </w:r>
      <w:r>
        <w:tab/>
      </w:r>
      <w:r>
        <w:fldChar w:fldCharType="begin"/>
      </w:r>
      <w:r>
        <w:instrText xml:space="preserve"> PAGEREF _Toc27746890 \h </w:instrText>
      </w:r>
      <w:r>
        <w:fldChar w:fldCharType="separate"/>
      </w:r>
      <w:r>
        <w:t>5</w:t>
      </w:r>
      <w:r>
        <w:fldChar w:fldCharType="end"/>
      </w:r>
      <w:r>
        <w:fldChar w:fldCharType="end"/>
      </w:r>
    </w:p>
    <w:p>
      <w:pPr>
        <w:pStyle w:val="23"/>
        <w:rPr>
          <w:rFonts w:ascii="Calibri" w:hAnsi="Calibri" w:eastAsia="宋体" w:cs="黑体"/>
          <w:kern w:val="2"/>
          <w:szCs w:val="22"/>
        </w:rPr>
      </w:pPr>
      <w:r>
        <w:fldChar w:fldCharType="begin"/>
      </w:r>
      <w:r>
        <w:instrText xml:space="preserve">HYPERLINK  \l "_Toc27746891" </w:instrText>
      </w:r>
      <w:r>
        <w:fldChar w:fldCharType="separate"/>
      </w:r>
      <w:r>
        <w:rPr>
          <w:rStyle w:val="30"/>
          <w:rFonts w:ascii="黑体" w:hAnsi="黑体" w:eastAsia="黑体"/>
        </w:rPr>
        <w:t>7  多能互补子系统功能检查与测试</w:t>
      </w:r>
      <w:r>
        <w:tab/>
      </w:r>
      <w:r>
        <w:fldChar w:fldCharType="begin"/>
      </w:r>
      <w:r>
        <w:instrText xml:space="preserve"> PAGEREF _Toc27746891 \h </w:instrText>
      </w:r>
      <w:r>
        <w:fldChar w:fldCharType="separate"/>
      </w:r>
      <w:r>
        <w:t>7</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"_Toc27746892" </w:instrText>
      </w:r>
      <w:r>
        <w:fldChar w:fldCharType="separate"/>
      </w:r>
      <w:r>
        <w:rPr>
          <w:rStyle w:val="30"/>
          <w:rFonts w:ascii="黑体" w:hAnsi="黑体" w:eastAsia="黑体" w:cs="黑体"/>
        </w:rPr>
        <w:t>7.1 太阳能热水系统功能检查与测试</w:t>
      </w:r>
      <w:r>
        <w:tab/>
      </w:r>
      <w:r>
        <w:fldChar w:fldCharType="begin"/>
      </w:r>
      <w:r>
        <w:instrText xml:space="preserve"> PAGEREF _Toc27746892 \h </w:instrText>
      </w:r>
      <w:r>
        <w:fldChar w:fldCharType="separate"/>
      </w:r>
      <w:r>
        <w:t>7</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"_Toc27746893" </w:instrText>
      </w:r>
      <w:r>
        <w:fldChar w:fldCharType="separate"/>
      </w:r>
      <w:r>
        <w:rPr>
          <w:rStyle w:val="30"/>
          <w:rFonts w:ascii="黑体" w:hAnsi="黑体" w:eastAsia="黑体" w:cs="黑体"/>
        </w:rPr>
        <w:t>7.2 空气源热泵系统功能检查与测试</w:t>
      </w:r>
      <w:r>
        <w:tab/>
      </w:r>
      <w:r>
        <w:fldChar w:fldCharType="begin"/>
      </w:r>
      <w:r>
        <w:instrText xml:space="preserve"> PAGEREF _Toc27746893 \h </w:instrText>
      </w:r>
      <w:r>
        <w:fldChar w:fldCharType="separate"/>
      </w:r>
      <w:r>
        <w:t>7</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"_Toc27746894" </w:instrText>
      </w:r>
      <w:r>
        <w:fldChar w:fldCharType="separate"/>
      </w:r>
      <w:r>
        <w:rPr>
          <w:rStyle w:val="30"/>
          <w:rFonts w:ascii="黑体" w:hAnsi="黑体" w:eastAsia="黑体" w:cs="黑体"/>
        </w:rPr>
        <w:t>7.3 地源热泵系统功能检查与测试</w:t>
      </w:r>
      <w:r>
        <w:tab/>
      </w:r>
      <w:r>
        <w:fldChar w:fldCharType="begin"/>
      </w:r>
      <w:r>
        <w:instrText xml:space="preserve"> PAGEREF _Toc27746894 \h </w:instrText>
      </w:r>
      <w:r>
        <w:fldChar w:fldCharType="separate"/>
      </w:r>
      <w:r>
        <w:t>7</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"_Toc27746895" </w:instrText>
      </w:r>
      <w:r>
        <w:fldChar w:fldCharType="separate"/>
      </w:r>
      <w:r>
        <w:rPr>
          <w:rStyle w:val="30"/>
          <w:rFonts w:ascii="黑体" w:hAnsi="黑体" w:eastAsia="黑体" w:cs="黑体"/>
        </w:rPr>
        <w:t>7.4 光伏发电系统功能检查与测试</w:t>
      </w:r>
      <w:r>
        <w:tab/>
      </w:r>
      <w:r>
        <w:fldChar w:fldCharType="begin"/>
      </w:r>
      <w:r>
        <w:instrText xml:space="preserve"> PAGEREF _Toc27746895 \h </w:instrText>
      </w:r>
      <w:r>
        <w:fldChar w:fldCharType="separate"/>
      </w:r>
      <w:r>
        <w:t>7</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"_Toc27746896" </w:instrText>
      </w:r>
      <w:r>
        <w:fldChar w:fldCharType="separate"/>
      </w:r>
      <w:r>
        <w:rPr>
          <w:rStyle w:val="30"/>
          <w:rFonts w:ascii="黑体" w:hAnsi="黑体" w:eastAsia="黑体" w:cs="黑体"/>
        </w:rPr>
        <w:t>7.5 风力发电系统功能检查与测试</w:t>
      </w:r>
      <w:r>
        <w:tab/>
      </w:r>
      <w:r>
        <w:fldChar w:fldCharType="begin"/>
      </w:r>
      <w:r>
        <w:instrText xml:space="preserve"> PAGEREF _Toc27746896 \h </w:instrText>
      </w:r>
      <w:r>
        <w:fldChar w:fldCharType="separate"/>
      </w:r>
      <w:r>
        <w:t>8</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"_Toc27746897" </w:instrText>
      </w:r>
      <w:r>
        <w:fldChar w:fldCharType="separate"/>
      </w:r>
      <w:r>
        <w:rPr>
          <w:rStyle w:val="30"/>
          <w:rFonts w:ascii="黑体" w:hAnsi="黑体" w:eastAsia="黑体" w:cs="黑体"/>
        </w:rPr>
        <w:t>7.6 电化学储能系统功能检查与测试</w:t>
      </w:r>
      <w:r>
        <w:tab/>
      </w:r>
      <w:r>
        <w:fldChar w:fldCharType="begin"/>
      </w:r>
      <w:r>
        <w:instrText xml:space="preserve"> PAGEREF _Toc27746897 \h </w:instrText>
      </w:r>
      <w:r>
        <w:fldChar w:fldCharType="separate"/>
      </w:r>
      <w:r>
        <w:t>8</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"_Toc27746898" </w:instrText>
      </w:r>
      <w:r>
        <w:fldChar w:fldCharType="separate"/>
      </w:r>
      <w:r>
        <w:rPr>
          <w:rStyle w:val="30"/>
          <w:rFonts w:ascii="黑体" w:hAnsi="黑体" w:eastAsia="黑体" w:cs="黑体"/>
        </w:rPr>
        <w:t>7.7 能量管理系统功能检查与测试</w:t>
      </w:r>
      <w:r>
        <w:tab/>
      </w:r>
      <w:r>
        <w:fldChar w:fldCharType="begin"/>
      </w:r>
      <w:r>
        <w:instrText xml:space="preserve"> PAGEREF _Toc27746898 \h </w:instrText>
      </w:r>
      <w:r>
        <w:fldChar w:fldCharType="separate"/>
      </w:r>
      <w:r>
        <w:t>9</w:t>
      </w:r>
      <w:r>
        <w:fldChar w:fldCharType="end"/>
      </w:r>
      <w:r>
        <w:fldChar w:fldCharType="end"/>
      </w:r>
    </w:p>
    <w:p>
      <w:pPr>
        <w:pStyle w:val="23"/>
        <w:rPr>
          <w:rFonts w:ascii="Calibri" w:hAnsi="Calibri" w:eastAsia="宋体" w:cs="黑体"/>
          <w:kern w:val="2"/>
          <w:szCs w:val="22"/>
        </w:rPr>
      </w:pPr>
      <w:r>
        <w:fldChar w:fldCharType="begin"/>
      </w:r>
      <w:r>
        <w:instrText xml:space="preserve">HYPERLINK  \l "_Toc27746899" </w:instrText>
      </w:r>
      <w:r>
        <w:fldChar w:fldCharType="separate"/>
      </w:r>
      <w:r>
        <w:rPr>
          <w:rStyle w:val="30"/>
          <w:rFonts w:ascii="黑体" w:hAnsi="黑体" w:eastAsia="黑体" w:cs="黑体"/>
        </w:rPr>
        <w:t>8  多能互补系统整体验收与测试</w:t>
      </w:r>
      <w:r>
        <w:tab/>
      </w:r>
      <w:r>
        <w:fldChar w:fldCharType="begin"/>
      </w:r>
      <w:r>
        <w:instrText xml:space="preserve"> PAGEREF _Toc27746899 \h </w:instrText>
      </w:r>
      <w:r>
        <w:fldChar w:fldCharType="separate"/>
      </w:r>
      <w:r>
        <w:t>9</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"_Toc27746900" </w:instrText>
      </w:r>
      <w:r>
        <w:fldChar w:fldCharType="separate"/>
      </w:r>
      <w:r>
        <w:rPr>
          <w:rStyle w:val="30"/>
          <w:rFonts w:ascii="黑体" w:hAnsi="黑体" w:eastAsia="黑体" w:cs="黑体"/>
        </w:rPr>
        <w:t>8.1 系统安全检查</w:t>
      </w:r>
      <w:r>
        <w:tab/>
      </w:r>
      <w:r>
        <w:fldChar w:fldCharType="begin"/>
      </w:r>
      <w:r>
        <w:instrText xml:space="preserve"> PAGEREF _Toc27746900 \h </w:instrText>
      </w:r>
      <w:r>
        <w:fldChar w:fldCharType="separate"/>
      </w:r>
      <w:r>
        <w:t>9</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"_Toc27746901" </w:instrText>
      </w:r>
      <w:r>
        <w:fldChar w:fldCharType="separate"/>
      </w:r>
      <w:r>
        <w:rPr>
          <w:rStyle w:val="30"/>
          <w:rFonts w:ascii="黑体" w:hAnsi="黑体" w:eastAsia="黑体" w:cs="黑体"/>
        </w:rPr>
        <w:t>8.2 系统功能测试</w:t>
      </w:r>
      <w:r>
        <w:tab/>
      </w:r>
      <w:r>
        <w:fldChar w:fldCharType="begin"/>
      </w:r>
      <w:r>
        <w:instrText xml:space="preserve"> PAGEREF _Toc27746901 \h </w:instrText>
      </w:r>
      <w:r>
        <w:fldChar w:fldCharType="separate"/>
      </w:r>
      <w:r>
        <w:t>9</w:t>
      </w:r>
      <w:r>
        <w:fldChar w:fldCharType="end"/>
      </w:r>
      <w:r>
        <w:fldChar w:fldCharType="end"/>
      </w:r>
    </w:p>
    <w:p>
      <w:pPr>
        <w:pStyle w:val="23"/>
        <w:ind w:firstLine="840" w:firstLineChars="400"/>
        <w:rPr>
          <w:rFonts w:ascii="Calibri" w:hAnsi="Calibri" w:eastAsia="宋体" w:cs="黑体"/>
          <w:kern w:val="2"/>
          <w:szCs w:val="22"/>
        </w:rPr>
      </w:pPr>
      <w:r>
        <w:fldChar w:fldCharType="begin"/>
      </w:r>
      <w:r>
        <w:instrText xml:space="preserve">HYPERLINK  \l "_Toc27746902" </w:instrText>
      </w:r>
      <w:r>
        <w:fldChar w:fldCharType="separate"/>
      </w:r>
      <w:r>
        <w:rPr>
          <w:rStyle w:val="30"/>
          <w:rFonts w:ascii="黑体" w:hAnsi="黑体" w:eastAsia="黑体" w:cs="黑体"/>
        </w:rPr>
        <w:t>8.3 系统供能品质检查</w:t>
      </w:r>
      <w:r>
        <w:tab/>
      </w:r>
      <w:r>
        <w:fldChar w:fldCharType="begin"/>
      </w:r>
      <w:r>
        <w:instrText xml:space="preserve"> PAGEREF _Toc27746902 \h </w:instrText>
      </w:r>
      <w:r>
        <w:fldChar w:fldCharType="separate"/>
      </w:r>
      <w:r>
        <w:t>10</w:t>
      </w:r>
      <w:r>
        <w:fldChar w:fldCharType="end"/>
      </w:r>
      <w:r>
        <w:fldChar w:fldCharType="end"/>
      </w:r>
    </w:p>
    <w:p>
      <w:pPr>
        <w:pStyle w:val="23"/>
        <w:rPr>
          <w:rFonts w:ascii="Calibri" w:hAnsi="Calibri" w:eastAsia="宋体" w:cs="黑体"/>
          <w:kern w:val="2"/>
          <w:szCs w:val="22"/>
        </w:rPr>
      </w:pPr>
      <w:r>
        <w:fldChar w:fldCharType="begin"/>
      </w:r>
      <w:r>
        <w:instrText xml:space="preserve">HYPERLINK  \l "_Toc27746903" </w:instrText>
      </w:r>
      <w:r>
        <w:fldChar w:fldCharType="separate"/>
      </w:r>
      <w:r>
        <w:rPr>
          <w:rStyle w:val="30"/>
          <w:rFonts w:ascii="黑体" w:hAnsi="黑体" w:eastAsia="黑体"/>
        </w:rPr>
        <w:t>9  验收报告</w:t>
      </w:r>
      <w:r>
        <w:tab/>
      </w:r>
      <w:r>
        <w:fldChar w:fldCharType="begin"/>
      </w:r>
      <w:r>
        <w:instrText xml:space="preserve"> PAGEREF _Toc27746903 \h </w:instrText>
      </w:r>
      <w:r>
        <w:fldChar w:fldCharType="separate"/>
      </w:r>
      <w:r>
        <w:t>10</w:t>
      </w:r>
      <w:r>
        <w:fldChar w:fldCharType="end"/>
      </w:r>
      <w:r>
        <w:fldChar w:fldCharType="end"/>
      </w:r>
    </w:p>
    <w:p>
      <w:pPr>
        <w:pStyle w:val="23"/>
        <w:rPr>
          <w:rFonts w:ascii="Calibri" w:hAnsi="Calibri" w:eastAsia="宋体" w:cs="黑体"/>
          <w:kern w:val="2"/>
          <w:szCs w:val="22"/>
        </w:rPr>
      </w:pPr>
      <w:r>
        <w:fldChar w:fldCharType="begin"/>
      </w:r>
      <w:r>
        <w:instrText xml:space="preserve">HYPERLINK  \l "_Toc27746904" </w:instrText>
      </w:r>
      <w:r>
        <w:fldChar w:fldCharType="separate"/>
      </w:r>
      <w:r>
        <w:rPr>
          <w:rStyle w:val="30"/>
          <w:rFonts w:ascii="黑体" w:hAnsi="黑体" w:eastAsia="黑体"/>
        </w:rPr>
        <w:t>10  附录A</w:t>
      </w:r>
      <w:r>
        <w:tab/>
      </w:r>
      <w:r>
        <w:fldChar w:fldCharType="begin"/>
      </w:r>
      <w:r>
        <w:instrText xml:space="preserve"> PAGEREF _Toc27746904 \h </w:instrText>
      </w:r>
      <w:r>
        <w:fldChar w:fldCharType="separate"/>
      </w:r>
      <w:r>
        <w:t>10</w:t>
      </w:r>
      <w:r>
        <w:fldChar w:fldCharType="end"/>
      </w:r>
      <w:r>
        <w:fldChar w:fldCharType="end"/>
      </w:r>
    </w:p>
    <w:p>
      <w:pPr>
        <w:outlineLvl w:val="1"/>
        <w:sectPr>
          <w:headerReference r:id="rId5" w:type="default"/>
          <w:footerReference r:id="rId6" w:type="default"/>
          <w:pgSz w:w="11906" w:h="16838"/>
          <w:pgMar w:top="1440" w:right="1134" w:bottom="1440" w:left="1418" w:header="851" w:footer="992" w:gutter="0"/>
          <w:pgNumType w:fmt="upperRoman" w:start="1"/>
          <w:cols w:space="720" w:num="1"/>
          <w:docGrid w:type="lines" w:linePitch="312"/>
        </w:sectPr>
      </w:pPr>
      <w:r>
        <w:rPr>
          <w:rFonts w:eastAsia="黑体"/>
          <w:szCs w:val="21"/>
        </w:rPr>
        <w:fldChar w:fldCharType="end"/>
      </w:r>
      <w:bookmarkStart w:id="0" w:name="_Toc7894"/>
      <w:bookmarkStart w:id="1" w:name="_Toc344238144"/>
      <w:bookmarkStart w:id="2" w:name="_Toc14253"/>
      <w:bookmarkStart w:id="3" w:name="_Toc347035901"/>
      <w:bookmarkStart w:id="4" w:name="_Toc347035822"/>
    </w:p>
    <w:p>
      <w:pPr>
        <w:jc w:val="center"/>
        <w:outlineLvl w:val="1"/>
        <w:rPr>
          <w:rFonts w:ascii="黑体" w:hAnsi="黑体" w:eastAsia="黑体" w:cs="黑体"/>
          <w:sz w:val="32"/>
          <w:szCs w:val="32"/>
        </w:rPr>
      </w:pPr>
      <w:bookmarkStart w:id="5" w:name="_Toc27746877"/>
      <w:r>
        <w:rPr>
          <w:rFonts w:hint="eastAsia" w:ascii="黑体" w:hAnsi="黑体" w:eastAsia="黑体" w:cs="黑体"/>
          <w:sz w:val="32"/>
          <w:szCs w:val="32"/>
        </w:rPr>
        <w:t>前  言</w:t>
      </w:r>
      <w:bookmarkEnd w:id="0"/>
      <w:bookmarkEnd w:id="1"/>
      <w:bookmarkEnd w:id="2"/>
      <w:bookmarkEnd w:id="3"/>
      <w:bookmarkEnd w:id="4"/>
      <w:bookmarkEnd w:id="5"/>
    </w:p>
    <w:p>
      <w:pPr>
        <w:pStyle w:val="41"/>
        <w:widowControl w:val="0"/>
        <w:ind w:firstLine="420"/>
        <w:rPr>
          <w:rFonts w:hAnsi="宋体"/>
          <w:szCs w:val="21"/>
        </w:rPr>
      </w:pPr>
      <w:r>
        <w:rPr>
          <w:rFonts w:hAnsi="宋体"/>
          <w:szCs w:val="21"/>
        </w:rPr>
        <w:t>本标准按照GB/T 1.1—2009给出的规则起草。</w:t>
      </w:r>
    </w:p>
    <w:p>
      <w:pPr>
        <w:pStyle w:val="41"/>
        <w:ind w:firstLine="420"/>
        <w:rPr>
          <w:szCs w:val="21"/>
        </w:rPr>
      </w:pPr>
      <w:r>
        <w:rPr>
          <w:szCs w:val="21"/>
        </w:rPr>
        <w:t>本标准由中国国家认证认可监督管理委员会提出并归口。</w:t>
      </w:r>
    </w:p>
    <w:p>
      <w:pPr>
        <w:pStyle w:val="41"/>
        <w:widowControl w:val="0"/>
        <w:ind w:firstLine="420"/>
        <w:rPr>
          <w:color w:val="000000"/>
          <w:szCs w:val="21"/>
        </w:rPr>
      </w:pPr>
      <w:r>
        <w:rPr>
          <w:szCs w:val="21"/>
        </w:rPr>
        <w:t>本标准起草单位：</w:t>
      </w:r>
    </w:p>
    <w:p>
      <w:pPr>
        <w:pStyle w:val="41"/>
        <w:widowControl w:val="0"/>
        <w:ind w:firstLine="420"/>
        <w:rPr>
          <w:rFonts w:hAnsi="宋体"/>
          <w:szCs w:val="21"/>
        </w:rPr>
      </w:pPr>
      <w:r>
        <w:rPr>
          <w:szCs w:val="21"/>
        </w:rPr>
        <w:t>本标准起草人：</w:t>
      </w:r>
    </w:p>
    <w:p>
      <w:pPr>
        <w:spacing w:line="360" w:lineRule="auto"/>
        <w:sectPr>
          <w:footerReference r:id="rId7" w:type="default"/>
          <w:pgSz w:w="11906" w:h="16838"/>
          <w:pgMar w:top="1440" w:right="1646" w:bottom="1440" w:left="1440" w:header="851" w:footer="992" w:gutter="0"/>
          <w:pgNumType w:fmt="upperRoman"/>
          <w:cols w:space="720" w:num="1"/>
          <w:docGrid w:type="lines" w:linePitch="312"/>
        </w:sectPr>
      </w:pPr>
    </w:p>
    <w:p>
      <w:pPr>
        <w:adjustRightInd w:val="0"/>
        <w:snapToGrid w:val="0"/>
        <w:spacing w:line="324" w:lineRule="auto"/>
        <w:rPr>
          <w:rFonts w:eastAsia="黑体"/>
          <w:kern w:val="0"/>
          <w:sz w:val="32"/>
        </w:rPr>
      </w:pPr>
    </w:p>
    <w:p>
      <w:pPr>
        <w:adjustRightInd w:val="0"/>
        <w:snapToGrid w:val="0"/>
        <w:spacing w:line="324" w:lineRule="auto"/>
        <w:jc w:val="center"/>
        <w:rPr>
          <w:rFonts w:ascii="黑体" w:hAnsi="黑体" w:eastAsia="黑体" w:cs="黑体"/>
          <w:kern w:val="0"/>
          <w:sz w:val="32"/>
          <w:szCs w:val="32"/>
        </w:rPr>
      </w:pPr>
      <w:r>
        <w:rPr>
          <w:rFonts w:hint="eastAsia" w:ascii="黑体" w:hAnsi="黑体" w:eastAsia="黑体" w:cs="黑体"/>
          <w:kern w:val="0"/>
          <w:sz w:val="32"/>
          <w:szCs w:val="32"/>
        </w:rPr>
        <w:t>多能互补能源系统验收指南</w:t>
      </w:r>
    </w:p>
    <w:p>
      <w:pPr>
        <w:pStyle w:val="2"/>
        <w:rPr>
          <w:rFonts w:ascii="黑体" w:hAnsi="黑体" w:eastAsia="黑体"/>
          <w:sz w:val="21"/>
        </w:rPr>
      </w:pPr>
      <w:bookmarkStart w:id="6" w:name="_Toc21076"/>
      <w:bookmarkStart w:id="7" w:name="_Toc344238145"/>
      <w:bookmarkStart w:id="8" w:name="_Toc347035902"/>
      <w:bookmarkStart w:id="9" w:name="_Toc347035823"/>
      <w:bookmarkStart w:id="10" w:name="_Toc7713"/>
      <w:bookmarkStart w:id="11" w:name="_Toc27746878"/>
      <w:r>
        <w:rPr>
          <w:rFonts w:hint="eastAsia" w:ascii="黑体" w:hAnsi="黑体" w:eastAsia="黑体"/>
          <w:sz w:val="21"/>
        </w:rPr>
        <w:t>1</w:t>
      </w:r>
      <w:r>
        <w:rPr>
          <w:rFonts w:ascii="黑体" w:hAnsi="黑体" w:eastAsia="黑体"/>
          <w:sz w:val="21"/>
        </w:rPr>
        <w:t xml:space="preserve">  </w:t>
      </w:r>
      <w:r>
        <w:rPr>
          <w:rFonts w:hint="eastAsia" w:ascii="黑体" w:hAnsi="黑体" w:eastAsia="黑体"/>
          <w:sz w:val="21"/>
        </w:rPr>
        <w:t>范围</w:t>
      </w:r>
      <w:bookmarkEnd w:id="6"/>
      <w:bookmarkEnd w:id="7"/>
      <w:bookmarkEnd w:id="8"/>
      <w:bookmarkEnd w:id="9"/>
      <w:bookmarkEnd w:id="10"/>
      <w:bookmarkEnd w:id="11"/>
    </w:p>
    <w:p>
      <w:pPr>
        <w:widowControl/>
        <w:spacing w:line="300" w:lineRule="auto"/>
        <w:ind w:firstLine="420"/>
        <w:jc w:val="left"/>
        <w:rPr>
          <w:rFonts w:ascii="宋体" w:hAnsi="宋体" w:cs="宋体"/>
          <w:color w:val="000000"/>
          <w:szCs w:val="21"/>
        </w:rPr>
      </w:pPr>
      <w:r>
        <w:rPr>
          <w:rFonts w:hint="eastAsia" w:ascii="宋体" w:hAnsi="宋体" w:cs="宋体"/>
          <w:color w:val="000000"/>
          <w:szCs w:val="21"/>
        </w:rPr>
        <w:t>本标准规定了多能互补能源系统竣工后的验收条件、验收内容、技术要求及验收报告。</w:t>
      </w:r>
    </w:p>
    <w:p>
      <w:pPr>
        <w:widowControl/>
        <w:spacing w:line="300" w:lineRule="auto"/>
        <w:ind w:firstLine="420"/>
        <w:jc w:val="left"/>
        <w:rPr>
          <w:rFonts w:ascii="宋体" w:hAnsi="宋体" w:cs="宋体"/>
          <w:color w:val="000000"/>
          <w:szCs w:val="21"/>
        </w:rPr>
      </w:pPr>
      <w:r>
        <w:rPr>
          <w:rFonts w:hint="eastAsia" w:ascii="宋体" w:hAnsi="宋体" w:cs="宋体"/>
          <w:color w:val="000000"/>
          <w:szCs w:val="21"/>
        </w:rPr>
        <w:t>本标准适用于由太阳能、风能、地热能、空气能等多种可再生能源和电化学储能组成的终端一体化多能互补能源系统。</w:t>
      </w:r>
    </w:p>
    <w:p>
      <w:pPr>
        <w:pStyle w:val="2"/>
        <w:rPr>
          <w:rFonts w:ascii="黑体" w:hAnsi="黑体" w:eastAsia="黑体"/>
          <w:sz w:val="21"/>
        </w:rPr>
      </w:pPr>
      <w:bookmarkStart w:id="12" w:name="_Toc23863"/>
      <w:bookmarkStart w:id="13" w:name="_Toc25675"/>
      <w:bookmarkStart w:id="14" w:name="_Toc27746879"/>
      <w:r>
        <w:rPr>
          <w:rFonts w:hint="eastAsia" w:ascii="黑体" w:hAnsi="黑体" w:eastAsia="黑体"/>
          <w:sz w:val="21"/>
        </w:rPr>
        <w:t>2</w:t>
      </w:r>
      <w:r>
        <w:rPr>
          <w:rFonts w:ascii="黑体" w:hAnsi="黑体" w:eastAsia="黑体"/>
          <w:sz w:val="21"/>
        </w:rPr>
        <w:t xml:space="preserve">  </w:t>
      </w:r>
      <w:r>
        <w:rPr>
          <w:rFonts w:hint="eastAsia" w:ascii="黑体" w:hAnsi="黑体" w:eastAsia="黑体"/>
          <w:sz w:val="21"/>
        </w:rPr>
        <w:t>规范性引用文件</w:t>
      </w:r>
      <w:bookmarkEnd w:id="12"/>
      <w:bookmarkEnd w:id="13"/>
      <w:bookmarkEnd w:id="14"/>
    </w:p>
    <w:p>
      <w:pPr>
        <w:widowControl/>
        <w:spacing w:line="300" w:lineRule="auto"/>
        <w:jc w:val="left"/>
        <w:rPr>
          <w:rFonts w:ascii="宋体" w:hAnsi="宋体" w:cs="宋体"/>
          <w:color w:val="000000"/>
          <w:szCs w:val="21"/>
        </w:rPr>
      </w:pPr>
      <w:r>
        <w:rPr>
          <w:rFonts w:ascii="宋体" w:hAnsi="宋体" w:cs="宋体"/>
          <w:color w:val="000000"/>
          <w:szCs w:val="21"/>
        </w:rPr>
        <w:t xml:space="preserve">    下列文件对于本指南的应用必不可少。凡是注日期的引用文件，仅注日期的版本适用于本文件。凡是不注日期的引用文件，其最新版本（包括所有的修改版）适用于本文件。</w:t>
      </w:r>
    </w:p>
    <w:p>
      <w:pPr>
        <w:pStyle w:val="41"/>
        <w:spacing w:line="300" w:lineRule="auto"/>
        <w:ind w:firstLine="420"/>
        <w:rPr>
          <w:szCs w:val="21"/>
        </w:rPr>
      </w:pPr>
      <w:bookmarkStart w:id="15" w:name="_Toc352681876"/>
      <w:bookmarkStart w:id="16" w:name="_Toc4407"/>
      <w:bookmarkStart w:id="17" w:name="_Toc352676344"/>
      <w:bookmarkStart w:id="18" w:name="_Toc12702"/>
      <w:bookmarkStart w:id="19" w:name="_Toc27746880"/>
      <w:r>
        <w:rPr>
          <w:rFonts w:hint="eastAsia"/>
          <w:szCs w:val="21"/>
        </w:rPr>
        <w:t>G</w:t>
      </w:r>
      <w:r>
        <w:rPr>
          <w:szCs w:val="21"/>
        </w:rPr>
        <w:t xml:space="preserve">B </w:t>
      </w:r>
      <w:r>
        <w:rPr>
          <w:rFonts w:hint="eastAsia"/>
          <w:szCs w:val="21"/>
        </w:rPr>
        <w:t>50300</w:t>
      </w:r>
      <w:r>
        <w:rPr>
          <w:szCs w:val="21"/>
        </w:rPr>
        <w:t xml:space="preserve">    </w:t>
      </w:r>
      <w:r>
        <w:rPr>
          <w:rFonts w:hint="eastAsia"/>
          <w:szCs w:val="21"/>
        </w:rPr>
        <w:t>建筑工程施工质量验收统一标准</w:t>
      </w:r>
    </w:p>
    <w:p>
      <w:pPr>
        <w:pStyle w:val="41"/>
        <w:spacing w:line="300" w:lineRule="auto"/>
        <w:ind w:firstLine="420"/>
        <w:rPr>
          <w:szCs w:val="21"/>
        </w:rPr>
      </w:pPr>
      <w:r>
        <w:rPr>
          <w:szCs w:val="21"/>
        </w:rPr>
        <w:t>GB 50148    电气装置安装工程 电力变压器、油浸电抗器、互感器施工及验收规范</w:t>
      </w:r>
    </w:p>
    <w:p>
      <w:pPr>
        <w:pStyle w:val="41"/>
        <w:spacing w:line="300" w:lineRule="auto"/>
        <w:ind w:firstLine="420"/>
        <w:rPr>
          <w:szCs w:val="21"/>
        </w:rPr>
      </w:pPr>
      <w:r>
        <w:rPr>
          <w:szCs w:val="21"/>
        </w:rPr>
        <w:t>GB 50201    土方与爆破工程施工及验收规范</w:t>
      </w:r>
    </w:p>
    <w:p>
      <w:pPr>
        <w:pStyle w:val="41"/>
        <w:spacing w:line="300" w:lineRule="auto"/>
        <w:ind w:firstLine="420"/>
        <w:rPr>
          <w:szCs w:val="21"/>
        </w:rPr>
      </w:pPr>
      <w:r>
        <w:rPr>
          <w:szCs w:val="21"/>
        </w:rPr>
        <w:t>GB 50202    建筑地基基础工程施工质量验收规范</w:t>
      </w:r>
    </w:p>
    <w:p>
      <w:pPr>
        <w:pStyle w:val="41"/>
        <w:spacing w:line="300" w:lineRule="auto"/>
        <w:ind w:firstLine="420"/>
        <w:rPr>
          <w:szCs w:val="21"/>
        </w:rPr>
      </w:pPr>
      <w:r>
        <w:rPr>
          <w:szCs w:val="21"/>
        </w:rPr>
        <w:t>GB 50204    混凝土结构工程施工质量验收规范</w:t>
      </w:r>
    </w:p>
    <w:p>
      <w:pPr>
        <w:pStyle w:val="41"/>
        <w:spacing w:line="300" w:lineRule="auto"/>
        <w:ind w:firstLine="420"/>
        <w:rPr>
          <w:szCs w:val="21"/>
        </w:rPr>
      </w:pPr>
      <w:r>
        <w:rPr>
          <w:szCs w:val="21"/>
        </w:rPr>
        <w:t>GB 50303    建筑电气工程施工质量验收规范</w:t>
      </w:r>
    </w:p>
    <w:p>
      <w:pPr>
        <w:pStyle w:val="41"/>
        <w:spacing w:line="300" w:lineRule="auto"/>
        <w:ind w:firstLine="420"/>
        <w:rPr>
          <w:szCs w:val="21"/>
        </w:rPr>
      </w:pPr>
      <w:r>
        <w:rPr>
          <w:szCs w:val="21"/>
        </w:rPr>
        <w:t xml:space="preserve">GB 50366   </w:t>
      </w:r>
      <w:r>
        <w:rPr>
          <w:rFonts w:hint="eastAsia"/>
          <w:szCs w:val="21"/>
        </w:rPr>
        <w:t xml:space="preserve"> </w:t>
      </w:r>
      <w:r>
        <w:rPr>
          <w:szCs w:val="21"/>
        </w:rPr>
        <w:t>地源热泵系统工程技术规范</w:t>
      </w:r>
    </w:p>
    <w:p>
      <w:pPr>
        <w:pStyle w:val="41"/>
        <w:spacing w:line="300" w:lineRule="auto"/>
        <w:ind w:firstLine="420"/>
        <w:rPr>
          <w:szCs w:val="21"/>
        </w:rPr>
      </w:pPr>
      <w:r>
        <w:rPr>
          <w:rFonts w:hint="eastAsia"/>
          <w:szCs w:val="21"/>
        </w:rPr>
        <w:t>G</w:t>
      </w:r>
      <w:r>
        <w:rPr>
          <w:szCs w:val="21"/>
        </w:rPr>
        <w:t xml:space="preserve">B 50243    </w:t>
      </w:r>
      <w:r>
        <w:rPr>
          <w:rFonts w:hint="eastAsia"/>
          <w:szCs w:val="21"/>
        </w:rPr>
        <w:t>通风与空调工程施工质量验收规范</w:t>
      </w:r>
    </w:p>
    <w:p>
      <w:pPr>
        <w:pStyle w:val="41"/>
        <w:spacing w:line="300" w:lineRule="auto"/>
        <w:ind w:firstLine="420"/>
        <w:rPr>
          <w:szCs w:val="21"/>
        </w:rPr>
      </w:pPr>
      <w:r>
        <w:rPr>
          <w:szCs w:val="21"/>
        </w:rPr>
        <w:t>GB/T 16895  低压电气装置</w:t>
      </w:r>
    </w:p>
    <w:p>
      <w:pPr>
        <w:pStyle w:val="41"/>
        <w:spacing w:line="300" w:lineRule="auto"/>
        <w:ind w:firstLine="420"/>
        <w:rPr>
          <w:szCs w:val="21"/>
        </w:rPr>
      </w:pPr>
      <w:r>
        <w:rPr>
          <w:szCs w:val="21"/>
        </w:rPr>
        <w:t>GB/T 18713  太阳热水系统设计安装及工程验收技术规范</w:t>
      </w:r>
    </w:p>
    <w:p>
      <w:pPr>
        <w:pStyle w:val="41"/>
        <w:spacing w:line="300" w:lineRule="auto"/>
        <w:ind w:firstLine="420"/>
        <w:rPr>
          <w:szCs w:val="21"/>
        </w:rPr>
      </w:pPr>
      <w:r>
        <w:rPr>
          <w:szCs w:val="21"/>
        </w:rPr>
        <w:t>GB/T 30724  工业应用的太阳能热水系统技术规范</w:t>
      </w:r>
    </w:p>
    <w:p>
      <w:pPr>
        <w:pStyle w:val="41"/>
        <w:spacing w:line="300" w:lineRule="auto"/>
        <w:ind w:firstLine="420"/>
        <w:rPr>
          <w:szCs w:val="21"/>
        </w:rPr>
      </w:pPr>
      <w:r>
        <w:rPr>
          <w:szCs w:val="21"/>
        </w:rPr>
        <w:t>GB</w:t>
      </w:r>
      <w:r>
        <w:rPr>
          <w:rFonts w:hint="eastAsia"/>
          <w:szCs w:val="21"/>
        </w:rPr>
        <w:t>/</w:t>
      </w:r>
      <w:r>
        <w:rPr>
          <w:szCs w:val="21"/>
        </w:rPr>
        <w:t>T 36547  电化学储能系统接入电网技术规定</w:t>
      </w:r>
    </w:p>
    <w:p>
      <w:pPr>
        <w:pStyle w:val="41"/>
        <w:spacing w:line="300" w:lineRule="auto"/>
        <w:ind w:firstLine="420"/>
        <w:rPr>
          <w:szCs w:val="21"/>
        </w:rPr>
      </w:pPr>
      <w:r>
        <w:rPr>
          <w:szCs w:val="21"/>
        </w:rPr>
        <w:t>GB</w:t>
      </w:r>
      <w:r>
        <w:rPr>
          <w:rFonts w:hint="eastAsia"/>
          <w:szCs w:val="21"/>
        </w:rPr>
        <w:t>/</w:t>
      </w:r>
      <w:r>
        <w:rPr>
          <w:szCs w:val="21"/>
        </w:rPr>
        <w:t>T 36548  电化学储能系统接入电网测试规范</w:t>
      </w:r>
    </w:p>
    <w:p>
      <w:pPr>
        <w:pStyle w:val="41"/>
        <w:spacing w:line="300" w:lineRule="auto"/>
        <w:ind w:firstLine="420"/>
        <w:rPr>
          <w:szCs w:val="21"/>
        </w:rPr>
      </w:pPr>
      <w:r>
        <w:rPr>
          <w:szCs w:val="21"/>
        </w:rPr>
        <w:t>GB/T 37655  光伏与建筑一体化发电系统验收规范</w:t>
      </w:r>
    </w:p>
    <w:p>
      <w:pPr>
        <w:pStyle w:val="41"/>
        <w:spacing w:line="300" w:lineRule="auto"/>
        <w:ind w:firstLine="420"/>
        <w:rPr>
          <w:szCs w:val="21"/>
        </w:rPr>
      </w:pPr>
      <w:r>
        <w:rPr>
          <w:szCs w:val="21"/>
        </w:rPr>
        <w:t>GB/T</w:t>
      </w:r>
      <w:r>
        <w:rPr>
          <w:rFonts w:hint="eastAsia"/>
          <w:szCs w:val="21"/>
        </w:rPr>
        <w:t xml:space="preserve"> </w:t>
      </w:r>
      <w:r>
        <w:rPr>
          <w:szCs w:val="21"/>
        </w:rPr>
        <w:t>50796  光伏发电工程验收规范</w:t>
      </w:r>
    </w:p>
    <w:p>
      <w:pPr>
        <w:pStyle w:val="41"/>
        <w:spacing w:line="300" w:lineRule="auto"/>
        <w:ind w:firstLine="420"/>
        <w:rPr>
          <w:szCs w:val="21"/>
        </w:rPr>
      </w:pPr>
      <w:r>
        <w:rPr>
          <w:szCs w:val="21"/>
        </w:rPr>
        <w:t>GB/T 51121  风力发电工程施工与验收规范</w:t>
      </w:r>
    </w:p>
    <w:p>
      <w:pPr>
        <w:pStyle w:val="41"/>
        <w:spacing w:line="300" w:lineRule="auto"/>
        <w:ind w:firstLine="420"/>
      </w:pPr>
      <w:r>
        <w:t>GB 502</w:t>
      </w:r>
      <w:r>
        <w:rPr>
          <w:rFonts w:hint="eastAsia"/>
        </w:rPr>
        <w:t>74</w:t>
      </w:r>
      <w:r>
        <w:t xml:space="preserve">    </w:t>
      </w:r>
      <w:r>
        <w:rPr>
          <w:rFonts w:hint="eastAsia"/>
        </w:rPr>
        <w:t>制冷设备、空气分离设备安装工程施工及验收规范</w:t>
      </w:r>
    </w:p>
    <w:p>
      <w:pPr>
        <w:pStyle w:val="41"/>
        <w:spacing w:line="300" w:lineRule="auto"/>
        <w:ind w:firstLine="420"/>
        <w:rPr>
          <w:szCs w:val="21"/>
        </w:rPr>
      </w:pPr>
      <w:r>
        <w:rPr>
          <w:rFonts w:hint="eastAsia"/>
          <w:szCs w:val="21"/>
        </w:rPr>
        <w:t>G</w:t>
      </w:r>
      <w:r>
        <w:rPr>
          <w:szCs w:val="21"/>
        </w:rPr>
        <w:t xml:space="preserve">B </w:t>
      </w:r>
      <w:r>
        <w:rPr>
          <w:rFonts w:hint="eastAsia"/>
          <w:szCs w:val="21"/>
        </w:rPr>
        <w:t xml:space="preserve">50150 </w:t>
      </w:r>
      <w:r>
        <w:rPr>
          <w:szCs w:val="21"/>
        </w:rPr>
        <w:t xml:space="preserve">   </w:t>
      </w:r>
      <w:r>
        <w:rPr>
          <w:rFonts w:hint="eastAsia"/>
          <w:szCs w:val="21"/>
        </w:rPr>
        <w:t>电气设备安装工程 电气设备交接试验标准</w:t>
      </w:r>
    </w:p>
    <w:p>
      <w:pPr>
        <w:pStyle w:val="41"/>
        <w:spacing w:line="300" w:lineRule="auto"/>
        <w:ind w:firstLine="420"/>
        <w:rPr>
          <w:szCs w:val="21"/>
        </w:rPr>
      </w:pPr>
      <w:r>
        <w:rPr>
          <w:rFonts w:hint="eastAsia"/>
          <w:szCs w:val="21"/>
        </w:rPr>
        <w:t>G</w:t>
      </w:r>
      <w:r>
        <w:rPr>
          <w:szCs w:val="21"/>
        </w:rPr>
        <w:t>B/T 365</w:t>
      </w:r>
      <w:r>
        <w:rPr>
          <w:rFonts w:hint="eastAsia"/>
          <w:szCs w:val="21"/>
        </w:rPr>
        <w:t>58</w:t>
      </w:r>
      <w:r>
        <w:rPr>
          <w:szCs w:val="21"/>
        </w:rPr>
        <w:t xml:space="preserve">  </w:t>
      </w:r>
      <w:r>
        <w:rPr>
          <w:rFonts w:hint="eastAsia"/>
          <w:szCs w:val="21"/>
        </w:rPr>
        <w:t>电化学储能系统通用技术条件</w:t>
      </w:r>
    </w:p>
    <w:p>
      <w:pPr>
        <w:pStyle w:val="41"/>
        <w:spacing w:line="300" w:lineRule="auto"/>
        <w:ind w:firstLine="420"/>
        <w:rPr>
          <w:szCs w:val="21"/>
        </w:rPr>
      </w:pPr>
      <w:r>
        <w:rPr>
          <w:rFonts w:hint="eastAsia"/>
          <w:szCs w:val="21"/>
        </w:rPr>
        <w:t xml:space="preserve">GB/T 50801 </w:t>
      </w:r>
      <w:r>
        <w:rPr>
          <w:szCs w:val="21"/>
        </w:rPr>
        <w:t xml:space="preserve"> </w:t>
      </w:r>
      <w:r>
        <w:rPr>
          <w:rFonts w:hint="eastAsia"/>
          <w:szCs w:val="21"/>
        </w:rPr>
        <w:t>可再生能源建筑应用工程评价标准</w:t>
      </w:r>
    </w:p>
    <w:p>
      <w:pPr>
        <w:pStyle w:val="41"/>
        <w:spacing w:line="300" w:lineRule="auto"/>
        <w:ind w:firstLine="420"/>
        <w:rPr>
          <w:szCs w:val="21"/>
        </w:rPr>
      </w:pPr>
      <w:r>
        <w:rPr>
          <w:rFonts w:hint="eastAsia"/>
          <w:szCs w:val="21"/>
        </w:rPr>
        <w:t xml:space="preserve">GB 50364 </w:t>
      </w:r>
      <w:r>
        <w:rPr>
          <w:szCs w:val="21"/>
        </w:rPr>
        <w:t xml:space="preserve">   </w:t>
      </w:r>
      <w:r>
        <w:rPr>
          <w:rFonts w:hint="eastAsia"/>
          <w:szCs w:val="21"/>
        </w:rPr>
        <w:t>民用建筑太阳能热水系统应用技术标准</w:t>
      </w:r>
    </w:p>
    <w:p>
      <w:pPr>
        <w:pStyle w:val="41"/>
        <w:spacing w:line="300" w:lineRule="auto"/>
        <w:ind w:firstLine="420"/>
        <w:rPr>
          <w:szCs w:val="21"/>
        </w:rPr>
      </w:pPr>
      <w:r>
        <w:rPr>
          <w:rFonts w:hint="eastAsia"/>
          <w:szCs w:val="21"/>
        </w:rPr>
        <w:t>GB/T 25127.1 低环境温度空气源热泵(冷水)机组 第1部分：工业或商业用及类似用途的热泵(冷水)机组</w:t>
      </w:r>
    </w:p>
    <w:p>
      <w:pPr>
        <w:pStyle w:val="41"/>
        <w:spacing w:line="300" w:lineRule="auto"/>
        <w:ind w:firstLine="420"/>
        <w:rPr>
          <w:szCs w:val="21"/>
        </w:rPr>
      </w:pPr>
      <w:r>
        <w:rPr>
          <w:rFonts w:hint="eastAsia"/>
          <w:szCs w:val="21"/>
        </w:rPr>
        <w:t xml:space="preserve">GB/T 17646 </w:t>
      </w:r>
      <w:r>
        <w:rPr>
          <w:szCs w:val="21"/>
        </w:rPr>
        <w:t xml:space="preserve"> </w:t>
      </w:r>
      <w:r>
        <w:rPr>
          <w:rFonts w:hint="eastAsia"/>
          <w:szCs w:val="21"/>
        </w:rPr>
        <w:t>小型风力发电机组</w:t>
      </w:r>
    </w:p>
    <w:p>
      <w:pPr>
        <w:pStyle w:val="41"/>
        <w:spacing w:line="300" w:lineRule="auto"/>
        <w:ind w:firstLine="420"/>
        <w:rPr>
          <w:szCs w:val="21"/>
        </w:rPr>
      </w:pPr>
      <w:r>
        <w:rPr>
          <w:rFonts w:hint="eastAsia"/>
          <w:szCs w:val="21"/>
        </w:rPr>
        <w:t xml:space="preserve">GB/T 12325 </w:t>
      </w:r>
      <w:r>
        <w:rPr>
          <w:szCs w:val="21"/>
        </w:rPr>
        <w:t xml:space="preserve"> </w:t>
      </w:r>
      <w:r>
        <w:rPr>
          <w:rFonts w:hint="eastAsia"/>
          <w:szCs w:val="21"/>
        </w:rPr>
        <w:t>电能质量 供电电压允许偏差</w:t>
      </w:r>
    </w:p>
    <w:p>
      <w:pPr>
        <w:pStyle w:val="41"/>
        <w:spacing w:line="300" w:lineRule="auto"/>
        <w:ind w:firstLine="420"/>
        <w:rPr>
          <w:szCs w:val="21"/>
        </w:rPr>
      </w:pPr>
      <w:r>
        <w:rPr>
          <w:rFonts w:hint="eastAsia"/>
          <w:szCs w:val="21"/>
        </w:rPr>
        <w:t xml:space="preserve">GB/T 12326 </w:t>
      </w:r>
      <w:r>
        <w:rPr>
          <w:szCs w:val="21"/>
        </w:rPr>
        <w:t xml:space="preserve"> </w:t>
      </w:r>
      <w:r>
        <w:rPr>
          <w:rFonts w:hint="eastAsia"/>
          <w:szCs w:val="21"/>
        </w:rPr>
        <w:t>电能质量 电压波动和闪变</w:t>
      </w:r>
    </w:p>
    <w:p>
      <w:pPr>
        <w:pStyle w:val="41"/>
        <w:spacing w:line="300" w:lineRule="auto"/>
        <w:ind w:firstLine="420"/>
        <w:rPr>
          <w:szCs w:val="21"/>
        </w:rPr>
      </w:pPr>
      <w:r>
        <w:rPr>
          <w:rFonts w:hint="eastAsia"/>
          <w:szCs w:val="21"/>
        </w:rPr>
        <w:t xml:space="preserve">GB/T 14549 </w:t>
      </w:r>
      <w:r>
        <w:rPr>
          <w:szCs w:val="21"/>
        </w:rPr>
        <w:t xml:space="preserve"> </w:t>
      </w:r>
      <w:r>
        <w:rPr>
          <w:rFonts w:hint="eastAsia"/>
          <w:szCs w:val="21"/>
        </w:rPr>
        <w:t>电能质量 公用电网谐波</w:t>
      </w:r>
    </w:p>
    <w:p>
      <w:pPr>
        <w:pStyle w:val="41"/>
        <w:spacing w:line="300" w:lineRule="auto"/>
        <w:ind w:firstLine="420"/>
        <w:rPr>
          <w:szCs w:val="21"/>
        </w:rPr>
      </w:pPr>
      <w:r>
        <w:rPr>
          <w:rFonts w:hint="eastAsia"/>
          <w:szCs w:val="21"/>
        </w:rPr>
        <w:t>GB/T 15543</w:t>
      </w:r>
      <w:r>
        <w:rPr>
          <w:szCs w:val="21"/>
        </w:rPr>
        <w:t xml:space="preserve">  </w:t>
      </w:r>
      <w:r>
        <w:rPr>
          <w:rFonts w:hint="eastAsia"/>
          <w:szCs w:val="21"/>
        </w:rPr>
        <w:t>电能质量 三相电压不平衡</w:t>
      </w:r>
    </w:p>
    <w:p>
      <w:pPr>
        <w:pStyle w:val="41"/>
        <w:spacing w:line="300" w:lineRule="auto"/>
        <w:ind w:firstLine="420"/>
        <w:rPr>
          <w:szCs w:val="21"/>
        </w:rPr>
      </w:pPr>
      <w:r>
        <w:rPr>
          <w:rFonts w:hint="eastAsia"/>
          <w:szCs w:val="21"/>
        </w:rPr>
        <w:t>GB/T 15945</w:t>
      </w:r>
      <w:r>
        <w:rPr>
          <w:szCs w:val="21"/>
        </w:rPr>
        <w:t xml:space="preserve">  </w:t>
      </w:r>
      <w:r>
        <w:rPr>
          <w:rFonts w:hint="eastAsia"/>
          <w:szCs w:val="21"/>
        </w:rPr>
        <w:t>电能质量 电力系统频率偏差</w:t>
      </w:r>
    </w:p>
    <w:p>
      <w:pPr>
        <w:pStyle w:val="41"/>
        <w:spacing w:line="300" w:lineRule="auto"/>
        <w:ind w:firstLine="420"/>
        <w:rPr>
          <w:szCs w:val="21"/>
        </w:rPr>
      </w:pPr>
      <w:r>
        <w:rPr>
          <w:rFonts w:hint="eastAsia"/>
          <w:szCs w:val="21"/>
        </w:rPr>
        <w:t xml:space="preserve">GB/T 20271 </w:t>
      </w:r>
      <w:r>
        <w:rPr>
          <w:szCs w:val="21"/>
        </w:rPr>
        <w:t xml:space="preserve"> </w:t>
      </w:r>
      <w:r>
        <w:rPr>
          <w:rFonts w:hint="eastAsia"/>
          <w:szCs w:val="21"/>
        </w:rPr>
        <w:t>信息安全技术 信息系统通用安全技术要求</w:t>
      </w:r>
    </w:p>
    <w:p>
      <w:pPr>
        <w:pStyle w:val="41"/>
        <w:spacing w:line="300" w:lineRule="auto"/>
        <w:ind w:firstLine="420"/>
        <w:rPr>
          <w:szCs w:val="21"/>
        </w:rPr>
      </w:pPr>
      <w:r>
        <w:rPr>
          <w:rFonts w:hint="eastAsia"/>
          <w:szCs w:val="21"/>
        </w:rPr>
        <w:t xml:space="preserve">GB/T 36274 </w:t>
      </w:r>
      <w:r>
        <w:rPr>
          <w:szCs w:val="21"/>
        </w:rPr>
        <w:t xml:space="preserve"> </w:t>
      </w:r>
      <w:r>
        <w:rPr>
          <w:rFonts w:hint="eastAsia"/>
          <w:szCs w:val="21"/>
        </w:rPr>
        <w:t>微电网能量管理系统技术规范</w:t>
      </w:r>
    </w:p>
    <w:p>
      <w:pPr>
        <w:pStyle w:val="41"/>
        <w:spacing w:line="300" w:lineRule="auto"/>
        <w:ind w:firstLine="420"/>
        <w:rPr>
          <w:szCs w:val="21"/>
        </w:rPr>
      </w:pPr>
      <w:r>
        <w:rPr>
          <w:rFonts w:hint="eastAsia"/>
          <w:szCs w:val="21"/>
        </w:rPr>
        <w:t xml:space="preserve">GB 50169 </w:t>
      </w:r>
      <w:r>
        <w:rPr>
          <w:szCs w:val="21"/>
        </w:rPr>
        <w:t xml:space="preserve">   </w:t>
      </w:r>
      <w:r>
        <w:rPr>
          <w:rFonts w:hint="eastAsia"/>
          <w:szCs w:val="21"/>
        </w:rPr>
        <w:t>电气装置安装工程接地装置施工及验收规范</w:t>
      </w:r>
    </w:p>
    <w:p>
      <w:pPr>
        <w:pStyle w:val="41"/>
        <w:spacing w:line="300" w:lineRule="auto"/>
        <w:ind w:firstLine="420"/>
        <w:rPr>
          <w:szCs w:val="21"/>
        </w:rPr>
      </w:pPr>
      <w:r>
        <w:rPr>
          <w:rFonts w:hint="eastAsia"/>
          <w:szCs w:val="21"/>
        </w:rPr>
        <w:t>GB/T 34930</w:t>
      </w:r>
      <w:r>
        <w:rPr>
          <w:szCs w:val="21"/>
        </w:rPr>
        <w:t xml:space="preserve">  </w:t>
      </w:r>
      <w:r>
        <w:rPr>
          <w:rFonts w:hint="eastAsia"/>
          <w:szCs w:val="21"/>
        </w:rPr>
        <w:t>微电网接入配电网运行控制规范</w:t>
      </w:r>
    </w:p>
    <w:p>
      <w:pPr>
        <w:pStyle w:val="41"/>
        <w:spacing w:line="300" w:lineRule="auto"/>
        <w:ind w:firstLine="420"/>
        <w:rPr>
          <w:szCs w:val="21"/>
        </w:rPr>
      </w:pPr>
      <w:r>
        <w:rPr>
          <w:rFonts w:hint="eastAsia"/>
          <w:szCs w:val="21"/>
        </w:rPr>
        <w:t>GB/T 19115.1 风光互补发电系统 第1部分：技术条件</w:t>
      </w:r>
    </w:p>
    <w:p>
      <w:pPr>
        <w:pStyle w:val="41"/>
        <w:spacing w:line="300" w:lineRule="auto"/>
        <w:ind w:firstLine="420"/>
        <w:rPr>
          <w:szCs w:val="21"/>
        </w:rPr>
      </w:pPr>
      <w:r>
        <w:rPr>
          <w:rFonts w:hint="eastAsia"/>
          <w:szCs w:val="21"/>
        </w:rPr>
        <w:t xml:space="preserve">CJJ 88 </w:t>
      </w:r>
      <w:r>
        <w:rPr>
          <w:szCs w:val="21"/>
        </w:rPr>
        <w:t xml:space="preserve">      </w:t>
      </w:r>
      <w:r>
        <w:rPr>
          <w:rFonts w:hint="eastAsia"/>
          <w:szCs w:val="21"/>
        </w:rPr>
        <w:t>城镇供热系统运行维护技术规程</w:t>
      </w:r>
    </w:p>
    <w:p>
      <w:pPr>
        <w:pStyle w:val="41"/>
        <w:spacing w:line="300" w:lineRule="auto"/>
        <w:ind w:firstLine="420"/>
        <w:rPr>
          <w:szCs w:val="21"/>
        </w:rPr>
      </w:pPr>
      <w:r>
        <w:rPr>
          <w:rFonts w:hint="eastAsia"/>
          <w:szCs w:val="21"/>
        </w:rPr>
        <w:t>CNAS/CTS 0016</w:t>
      </w:r>
      <w:r>
        <w:rPr>
          <w:szCs w:val="21"/>
        </w:rPr>
        <w:t xml:space="preserve"> </w:t>
      </w:r>
      <w:r>
        <w:rPr>
          <w:rFonts w:hint="eastAsia"/>
          <w:szCs w:val="21"/>
        </w:rPr>
        <w:t>并网光伏电站性能检测与质量评估技术规范</w:t>
      </w:r>
    </w:p>
    <w:p>
      <w:pPr>
        <w:pStyle w:val="2"/>
        <w:rPr>
          <w:rFonts w:ascii="黑体" w:hAnsi="黑体" w:eastAsia="黑体"/>
          <w:sz w:val="21"/>
        </w:rPr>
      </w:pPr>
      <w:r>
        <w:rPr>
          <w:rFonts w:hint="eastAsia" w:ascii="黑体" w:hAnsi="黑体" w:eastAsia="黑体"/>
          <w:sz w:val="21"/>
        </w:rPr>
        <w:t>3</w:t>
      </w:r>
      <w:r>
        <w:rPr>
          <w:rFonts w:ascii="黑体" w:hAnsi="黑体" w:eastAsia="黑体"/>
          <w:sz w:val="21"/>
        </w:rPr>
        <w:t xml:space="preserve">  </w:t>
      </w:r>
      <w:r>
        <w:rPr>
          <w:rFonts w:hint="eastAsia" w:ascii="黑体" w:hAnsi="黑体" w:eastAsia="黑体"/>
          <w:sz w:val="21"/>
        </w:rPr>
        <w:t>术语和定义</w:t>
      </w:r>
      <w:bookmarkEnd w:id="15"/>
      <w:bookmarkEnd w:id="16"/>
      <w:bookmarkEnd w:id="17"/>
      <w:bookmarkEnd w:id="18"/>
      <w:bookmarkEnd w:id="19"/>
    </w:p>
    <w:p>
      <w:pPr>
        <w:widowControl/>
        <w:autoSpaceDE w:val="0"/>
        <w:autoSpaceDN w:val="0"/>
        <w:adjustRightInd w:val="0"/>
        <w:spacing w:line="360" w:lineRule="auto"/>
        <w:jc w:val="left"/>
        <w:rPr>
          <w:rFonts w:ascii="宋体" w:hAnsi="宋体" w:cs="宋体"/>
          <w:b/>
          <w:bCs/>
          <w:kern w:val="0"/>
        </w:rPr>
      </w:pPr>
      <w:r>
        <w:rPr>
          <w:rFonts w:ascii="宋体" w:hAnsi="宋体" w:cs="宋体"/>
          <w:b/>
          <w:bCs/>
          <w:kern w:val="0"/>
        </w:rPr>
        <w:t xml:space="preserve">3.1 </w:t>
      </w:r>
    </w:p>
    <w:p>
      <w:pPr>
        <w:widowControl/>
        <w:autoSpaceDE w:val="0"/>
        <w:autoSpaceDN w:val="0"/>
        <w:adjustRightInd w:val="0"/>
        <w:spacing w:line="300" w:lineRule="auto"/>
        <w:ind w:firstLine="420"/>
        <w:jc w:val="left"/>
        <w:rPr>
          <w:rFonts w:ascii="宋体" w:cs="宋体"/>
          <w:b/>
          <w:bCs/>
        </w:rPr>
      </w:pPr>
      <w:bookmarkStart w:id="20" w:name="_Toc513495716"/>
      <w:r>
        <w:rPr>
          <w:rFonts w:hint="eastAsia" w:ascii="宋体" w:cs="宋体"/>
          <w:b/>
          <w:bCs/>
          <w:color w:val="000000"/>
        </w:rPr>
        <w:t>终端一体化多能互补能源系统</w:t>
      </w:r>
      <w:bookmarkEnd w:id="20"/>
      <w:r>
        <w:rPr>
          <w:rFonts w:ascii="宋体" w:cs="宋体"/>
          <w:b/>
          <w:bCs/>
          <w:color w:val="000000"/>
        </w:rPr>
        <w:t xml:space="preserve"> s</w:t>
      </w:r>
      <w:r>
        <w:rPr>
          <w:rFonts w:hint="eastAsia" w:ascii="宋体" w:cs="宋体"/>
          <w:b/>
          <w:bCs/>
        </w:rPr>
        <w:t>ystem</w:t>
      </w:r>
      <w:r>
        <w:rPr>
          <w:rFonts w:ascii="宋体" w:cs="宋体"/>
          <w:b/>
          <w:bCs/>
        </w:rPr>
        <w:t xml:space="preserve"> </w:t>
      </w:r>
      <w:r>
        <w:rPr>
          <w:rFonts w:hint="eastAsia" w:ascii="宋体" w:cs="宋体"/>
          <w:b/>
          <w:bCs/>
        </w:rPr>
        <w:t>of</w:t>
      </w:r>
      <w:r>
        <w:rPr>
          <w:rFonts w:ascii="宋体" w:cs="宋体"/>
          <w:b/>
          <w:bCs/>
        </w:rPr>
        <w:t xml:space="preserve"> multi-energy complementar</w:t>
      </w:r>
      <w:r>
        <w:rPr>
          <w:rFonts w:hint="eastAsia" w:ascii="宋体" w:cs="宋体"/>
          <w:b/>
          <w:bCs/>
        </w:rPr>
        <w:t>y</w:t>
      </w:r>
      <w:r>
        <w:rPr>
          <w:rFonts w:ascii="宋体" w:cs="宋体"/>
          <w:b/>
          <w:bCs/>
        </w:rPr>
        <w:t xml:space="preserve"> with </w:t>
      </w:r>
      <w:r>
        <w:rPr>
          <w:rFonts w:hint="eastAsia" w:ascii="宋体" w:cs="宋体"/>
          <w:b/>
          <w:bCs/>
        </w:rPr>
        <w:t>e</w:t>
      </w:r>
      <w:r>
        <w:rPr>
          <w:rFonts w:ascii="宋体" w:cs="宋体"/>
          <w:b/>
          <w:bCs/>
        </w:rPr>
        <w:t>nergy user terminal</w:t>
      </w:r>
    </w:p>
    <w:p>
      <w:pPr>
        <w:widowControl/>
        <w:autoSpaceDE w:val="0"/>
        <w:autoSpaceDN w:val="0"/>
        <w:adjustRightInd w:val="0"/>
        <w:spacing w:line="300" w:lineRule="auto"/>
        <w:ind w:firstLine="420"/>
        <w:jc w:val="left"/>
        <w:rPr>
          <w:rFonts w:ascii="宋体" w:hAnsi="宋体" w:cs="宋体"/>
          <w:kern w:val="0"/>
        </w:rPr>
      </w:pPr>
      <w:r>
        <w:rPr>
          <w:rFonts w:hint="eastAsia" w:ascii="宋体" w:hAnsi="宋体"/>
        </w:rPr>
        <w:t>面向终端用户电、气、冷、热等多种用能需求，通过分布式能源和智能微能源网等方式实现多能互补和协同供应，基于多能互补集成优化技术构建的“源</w:t>
      </w:r>
      <w:r>
        <w:rPr>
          <w:rFonts w:ascii="宋体"/>
        </w:rPr>
        <w:t>-</w:t>
      </w:r>
      <w:r>
        <w:rPr>
          <w:rFonts w:hint="eastAsia" w:ascii="宋体" w:hAnsi="宋体"/>
        </w:rPr>
        <w:t>网</w:t>
      </w:r>
      <w:r>
        <w:rPr>
          <w:rFonts w:ascii="宋体"/>
        </w:rPr>
        <w:t>-</w:t>
      </w:r>
      <w:r>
        <w:rPr>
          <w:rFonts w:hint="eastAsia" w:ascii="宋体" w:hAnsi="宋体"/>
        </w:rPr>
        <w:t>荷</w:t>
      </w:r>
      <w:r>
        <w:rPr>
          <w:rFonts w:ascii="宋体"/>
        </w:rPr>
        <w:t>-</w:t>
      </w:r>
      <w:r>
        <w:rPr>
          <w:rFonts w:hint="eastAsia" w:ascii="宋体" w:hAnsi="宋体"/>
        </w:rPr>
        <w:t>储”能源系统。</w:t>
      </w:r>
    </w:p>
    <w:p>
      <w:pPr>
        <w:widowControl/>
        <w:autoSpaceDE w:val="0"/>
        <w:autoSpaceDN w:val="0"/>
        <w:adjustRightInd w:val="0"/>
        <w:spacing w:line="360" w:lineRule="auto"/>
        <w:jc w:val="left"/>
        <w:rPr>
          <w:rFonts w:ascii="宋体" w:hAnsi="宋体" w:cs="宋体"/>
          <w:b/>
          <w:bCs/>
          <w:kern w:val="0"/>
        </w:rPr>
      </w:pPr>
      <w:bookmarkStart w:id="21" w:name="_Toc26210"/>
      <w:r>
        <w:rPr>
          <w:rFonts w:ascii="宋体" w:hAnsi="宋体" w:cs="宋体"/>
          <w:b/>
          <w:bCs/>
          <w:kern w:val="0"/>
        </w:rPr>
        <w:t>3.</w:t>
      </w:r>
      <w:r>
        <w:rPr>
          <w:rFonts w:hint="eastAsia" w:ascii="宋体" w:hAnsi="宋体" w:cs="宋体"/>
          <w:b/>
          <w:bCs/>
          <w:kern w:val="0"/>
        </w:rPr>
        <w:t>2</w:t>
      </w:r>
      <w:r>
        <w:rPr>
          <w:rFonts w:ascii="宋体" w:hAnsi="宋体" w:cs="宋体"/>
          <w:b/>
          <w:bCs/>
          <w:kern w:val="0"/>
        </w:rPr>
        <w:t xml:space="preserve"> </w:t>
      </w:r>
    </w:p>
    <w:p>
      <w:pPr>
        <w:widowControl/>
        <w:autoSpaceDE w:val="0"/>
        <w:autoSpaceDN w:val="0"/>
        <w:adjustRightInd w:val="0"/>
        <w:spacing w:line="300" w:lineRule="auto"/>
        <w:ind w:firstLine="420"/>
        <w:jc w:val="left"/>
        <w:rPr>
          <w:rFonts w:ascii="宋体" w:hAnsi="宋体" w:cs="宋体"/>
          <w:b/>
          <w:bCs/>
          <w:kern w:val="0"/>
        </w:rPr>
      </w:pPr>
      <w:r>
        <w:rPr>
          <w:rFonts w:hint="eastAsia" w:ascii="宋体" w:hAnsi="宋体" w:cs="宋体"/>
          <w:b/>
          <w:bCs/>
          <w:kern w:val="0"/>
        </w:rPr>
        <w:t>地源热泵系统</w:t>
      </w:r>
      <w:r>
        <w:rPr>
          <w:rFonts w:ascii="宋体" w:hAnsi="宋体" w:cs="宋体"/>
          <w:b/>
          <w:bCs/>
          <w:kern w:val="0"/>
        </w:rPr>
        <w:t xml:space="preserve"> ground-source heat pump system</w:t>
      </w:r>
    </w:p>
    <w:p>
      <w:pPr>
        <w:widowControl/>
        <w:autoSpaceDE w:val="0"/>
        <w:autoSpaceDN w:val="0"/>
        <w:adjustRightInd w:val="0"/>
        <w:spacing w:line="300" w:lineRule="auto"/>
        <w:ind w:firstLine="420"/>
        <w:jc w:val="left"/>
        <w:rPr>
          <w:rFonts w:ascii="宋体" w:hAnsi="宋体" w:cs="宋体"/>
          <w:kern w:val="0"/>
        </w:rPr>
      </w:pPr>
      <w:r>
        <w:rPr>
          <w:rFonts w:hint="eastAsia" w:ascii="宋体" w:hAnsi="宋体" w:cs="宋体"/>
          <w:kern w:val="0"/>
        </w:rPr>
        <w:t>以岩土体、地下水或地表水为低温热源，由水源热泵机组、地热能交换系统、建筑物内系统组成的供热空调系统。</w:t>
      </w:r>
      <w:r>
        <w:rPr>
          <w:rFonts w:hint="eastAsia" w:ascii="宋体" w:hAnsi="宋体"/>
        </w:rPr>
        <w:t>基于多能互补集成优化技术构建的</w:t>
      </w:r>
      <w:r>
        <w:rPr>
          <w:rFonts w:hint="eastAsia" w:ascii="宋体"/>
        </w:rPr>
        <w:t>“</w:t>
      </w:r>
      <w:r>
        <w:rPr>
          <w:rFonts w:hint="eastAsia" w:ascii="宋体" w:hAnsi="宋体"/>
        </w:rPr>
        <w:t>源</w:t>
      </w:r>
      <w:r>
        <w:rPr>
          <w:rFonts w:ascii="宋体"/>
        </w:rPr>
        <w:t>-</w:t>
      </w:r>
      <w:r>
        <w:rPr>
          <w:rFonts w:hint="eastAsia" w:ascii="宋体" w:hAnsi="宋体"/>
        </w:rPr>
        <w:t>网</w:t>
      </w:r>
      <w:r>
        <w:rPr>
          <w:rFonts w:ascii="宋体"/>
        </w:rPr>
        <w:t>-</w:t>
      </w:r>
      <w:r>
        <w:rPr>
          <w:rFonts w:hint="eastAsia" w:ascii="宋体" w:hAnsi="宋体"/>
        </w:rPr>
        <w:t>荷</w:t>
      </w:r>
      <w:r>
        <w:rPr>
          <w:rFonts w:ascii="宋体"/>
        </w:rPr>
        <w:t>-</w:t>
      </w:r>
      <w:r>
        <w:rPr>
          <w:rFonts w:hint="eastAsia" w:ascii="宋体" w:hAnsi="宋体"/>
        </w:rPr>
        <w:t>储</w:t>
      </w:r>
      <w:r>
        <w:rPr>
          <w:rFonts w:hint="eastAsia" w:ascii="宋体"/>
        </w:rPr>
        <w:t>”</w:t>
      </w:r>
      <w:r>
        <w:rPr>
          <w:rFonts w:hint="eastAsia" w:ascii="宋体" w:hAnsi="宋体"/>
        </w:rPr>
        <w:t>能源系统。</w:t>
      </w:r>
    </w:p>
    <w:p>
      <w:pPr>
        <w:spacing w:line="360" w:lineRule="auto"/>
        <w:rPr>
          <w:rFonts w:ascii="宋体" w:hAnsi="宋体" w:cs="宋体"/>
          <w:b/>
          <w:bCs/>
          <w:kern w:val="0"/>
        </w:rPr>
      </w:pPr>
      <w:r>
        <w:rPr>
          <w:rFonts w:ascii="宋体" w:hAnsi="宋体" w:cs="宋体"/>
          <w:b/>
          <w:bCs/>
          <w:kern w:val="0"/>
        </w:rPr>
        <w:t>3.</w:t>
      </w:r>
      <w:r>
        <w:rPr>
          <w:rFonts w:hint="eastAsia" w:ascii="宋体" w:hAnsi="宋体" w:cs="宋体"/>
          <w:b/>
          <w:bCs/>
          <w:kern w:val="0"/>
        </w:rPr>
        <w:t>3</w:t>
      </w:r>
      <w:r>
        <w:rPr>
          <w:rFonts w:ascii="宋体" w:hAnsi="宋体" w:cs="宋体"/>
          <w:b/>
          <w:bCs/>
          <w:kern w:val="0"/>
        </w:rPr>
        <w:t xml:space="preserve"> </w:t>
      </w:r>
    </w:p>
    <w:p>
      <w:pPr>
        <w:widowControl/>
        <w:autoSpaceDE w:val="0"/>
        <w:autoSpaceDN w:val="0"/>
        <w:adjustRightInd w:val="0"/>
        <w:spacing w:line="300" w:lineRule="auto"/>
        <w:ind w:firstLine="420"/>
        <w:jc w:val="left"/>
        <w:rPr>
          <w:rFonts w:ascii="宋体" w:hAnsi="宋体" w:cs="宋体"/>
          <w:b/>
          <w:bCs/>
          <w:kern w:val="0"/>
        </w:rPr>
      </w:pPr>
      <w:r>
        <w:rPr>
          <w:rFonts w:hint="eastAsia" w:ascii="宋体" w:hAnsi="宋体" w:cs="宋体"/>
          <w:b/>
          <w:bCs/>
          <w:kern w:val="0"/>
        </w:rPr>
        <w:t xml:space="preserve">空气源热泵系统 </w:t>
      </w:r>
      <w:r>
        <w:rPr>
          <w:rFonts w:ascii="宋体" w:hAnsi="宋体" w:cs="宋体"/>
          <w:b/>
          <w:bCs/>
          <w:kern w:val="0"/>
        </w:rPr>
        <w:t>air-source heat pump system</w:t>
      </w:r>
    </w:p>
    <w:p>
      <w:pPr>
        <w:widowControl/>
        <w:autoSpaceDE w:val="0"/>
        <w:autoSpaceDN w:val="0"/>
        <w:adjustRightInd w:val="0"/>
        <w:spacing w:line="300" w:lineRule="auto"/>
        <w:ind w:firstLine="420"/>
        <w:jc w:val="left"/>
        <w:rPr>
          <w:rFonts w:ascii="宋体" w:hAnsi="宋体" w:cs="宋体"/>
          <w:kern w:val="0"/>
        </w:rPr>
      </w:pPr>
      <w:r>
        <w:rPr>
          <w:rFonts w:hint="eastAsia" w:ascii="宋体" w:hAnsi="宋体" w:cs="宋体"/>
          <w:kern w:val="0"/>
        </w:rPr>
        <w:t>以空气为低温热源，由热泵机组、热能交换系统、储热系统、控制系统组成的供热系统。</w:t>
      </w:r>
    </w:p>
    <w:p>
      <w:pPr>
        <w:spacing w:line="360" w:lineRule="auto"/>
        <w:rPr>
          <w:rFonts w:ascii="宋体" w:hAnsi="宋体" w:cs="宋体"/>
          <w:b/>
          <w:bCs/>
          <w:kern w:val="0"/>
        </w:rPr>
      </w:pPr>
      <w:r>
        <w:rPr>
          <w:rFonts w:ascii="宋体" w:hAnsi="宋体" w:cs="宋体"/>
          <w:b/>
          <w:bCs/>
          <w:kern w:val="0"/>
        </w:rPr>
        <w:t>3.</w:t>
      </w:r>
      <w:r>
        <w:rPr>
          <w:rFonts w:hint="eastAsia" w:ascii="宋体" w:hAnsi="宋体" w:cs="宋体"/>
          <w:b/>
          <w:bCs/>
          <w:kern w:val="0"/>
        </w:rPr>
        <w:t>4</w:t>
      </w:r>
      <w:r>
        <w:rPr>
          <w:rFonts w:ascii="宋体" w:hAnsi="宋体" w:cs="宋体"/>
          <w:b/>
          <w:bCs/>
          <w:kern w:val="0"/>
        </w:rPr>
        <w:t xml:space="preserve"> </w:t>
      </w:r>
    </w:p>
    <w:p>
      <w:pPr>
        <w:widowControl/>
        <w:autoSpaceDE w:val="0"/>
        <w:autoSpaceDN w:val="0"/>
        <w:adjustRightInd w:val="0"/>
        <w:spacing w:line="300" w:lineRule="auto"/>
        <w:ind w:firstLine="420"/>
        <w:jc w:val="left"/>
        <w:rPr>
          <w:rFonts w:ascii="宋体" w:hAnsi="宋体" w:cs="宋体"/>
          <w:b/>
          <w:bCs/>
          <w:kern w:val="0"/>
        </w:rPr>
      </w:pPr>
      <w:r>
        <w:rPr>
          <w:rFonts w:hint="eastAsia" w:ascii="宋体" w:hAnsi="宋体" w:cs="宋体"/>
          <w:b/>
          <w:bCs/>
          <w:kern w:val="0"/>
        </w:rPr>
        <w:t xml:space="preserve">太阳能热水系统 </w:t>
      </w:r>
      <w:r>
        <w:rPr>
          <w:rFonts w:ascii="宋体" w:hAnsi="宋体" w:cs="宋体"/>
          <w:b/>
          <w:bCs/>
          <w:kern w:val="0"/>
        </w:rPr>
        <w:t>solar water heating system</w:t>
      </w:r>
    </w:p>
    <w:p>
      <w:pPr>
        <w:widowControl/>
        <w:autoSpaceDE w:val="0"/>
        <w:autoSpaceDN w:val="0"/>
        <w:adjustRightInd w:val="0"/>
        <w:spacing w:line="300" w:lineRule="auto"/>
        <w:ind w:firstLine="420"/>
        <w:jc w:val="left"/>
      </w:pPr>
      <w:r>
        <w:rPr>
          <w:rFonts w:hint="eastAsia" w:ascii="宋体" w:hAnsi="宋体" w:cs="宋体"/>
          <w:kern w:val="0"/>
        </w:rPr>
        <w:t>将太阳能转换成热能以加热水的装置。通常包括太阳能集热器、储水箱、泵、连接管道、支架、控制系统和必要时配合使用的辅助能源。</w:t>
      </w:r>
    </w:p>
    <w:p>
      <w:pPr>
        <w:spacing w:line="360" w:lineRule="auto"/>
        <w:rPr>
          <w:rFonts w:ascii="宋体" w:hAnsi="宋体" w:cs="宋体"/>
          <w:b/>
          <w:bCs/>
          <w:kern w:val="0"/>
        </w:rPr>
      </w:pPr>
      <w:r>
        <w:rPr>
          <w:rFonts w:ascii="宋体" w:hAnsi="宋体" w:cs="宋体"/>
          <w:b/>
          <w:bCs/>
          <w:kern w:val="0"/>
        </w:rPr>
        <w:t>3.</w:t>
      </w:r>
      <w:r>
        <w:rPr>
          <w:rFonts w:hint="eastAsia" w:ascii="宋体" w:hAnsi="宋体" w:cs="宋体"/>
          <w:b/>
          <w:bCs/>
          <w:kern w:val="0"/>
        </w:rPr>
        <w:t>5</w:t>
      </w:r>
    </w:p>
    <w:p>
      <w:pPr>
        <w:widowControl/>
        <w:autoSpaceDE w:val="0"/>
        <w:autoSpaceDN w:val="0"/>
        <w:adjustRightInd w:val="0"/>
        <w:spacing w:line="300" w:lineRule="auto"/>
        <w:ind w:firstLine="420"/>
        <w:jc w:val="left"/>
        <w:rPr>
          <w:rFonts w:ascii="宋体" w:hAnsi="宋体" w:cs="宋体"/>
          <w:b/>
          <w:bCs/>
          <w:kern w:val="0"/>
        </w:rPr>
      </w:pPr>
      <w:r>
        <w:rPr>
          <w:rFonts w:ascii="宋体" w:hAnsi="宋体" w:cs="宋体"/>
          <w:b/>
          <w:bCs/>
          <w:kern w:val="0"/>
        </w:rPr>
        <w:t>电化学储能系统 electrochemical energy storage syste</w:t>
      </w:r>
      <w:r>
        <w:rPr>
          <w:rFonts w:hint="eastAsia" w:ascii="宋体" w:hAnsi="宋体" w:cs="宋体"/>
          <w:b/>
          <w:bCs/>
          <w:kern w:val="0"/>
        </w:rPr>
        <w:t>m</w:t>
      </w:r>
    </w:p>
    <w:p>
      <w:pPr>
        <w:widowControl/>
        <w:autoSpaceDE w:val="0"/>
        <w:autoSpaceDN w:val="0"/>
        <w:adjustRightInd w:val="0"/>
        <w:spacing w:line="300" w:lineRule="auto"/>
        <w:ind w:firstLine="420"/>
        <w:jc w:val="left"/>
        <w:rPr>
          <w:rFonts w:ascii="宋体" w:hAnsi="宋体" w:cs="宋体"/>
          <w:kern w:val="0"/>
        </w:rPr>
      </w:pPr>
      <w:r>
        <w:rPr>
          <w:rFonts w:ascii="宋体" w:hAnsi="宋体" w:cs="宋体"/>
          <w:kern w:val="0"/>
        </w:rPr>
        <w:t>以电化学电池为储能载体，通过储能变流器进行可循环电能存储与释放的系统。</w:t>
      </w:r>
    </w:p>
    <w:p>
      <w:pPr>
        <w:spacing w:line="360" w:lineRule="auto"/>
        <w:rPr>
          <w:rFonts w:ascii="宋体" w:hAnsi="宋体" w:cs="宋体"/>
          <w:b/>
          <w:bCs/>
          <w:kern w:val="0"/>
        </w:rPr>
      </w:pPr>
      <w:r>
        <w:rPr>
          <w:rFonts w:ascii="宋体" w:hAnsi="宋体" w:cs="宋体"/>
          <w:b/>
          <w:bCs/>
          <w:kern w:val="0"/>
        </w:rPr>
        <w:t>3.</w:t>
      </w:r>
      <w:r>
        <w:rPr>
          <w:rFonts w:hint="eastAsia" w:ascii="宋体" w:hAnsi="宋体" w:cs="宋体"/>
          <w:b/>
          <w:bCs/>
          <w:kern w:val="0"/>
        </w:rPr>
        <w:t>6</w:t>
      </w:r>
    </w:p>
    <w:p>
      <w:pPr>
        <w:widowControl/>
        <w:autoSpaceDE w:val="0"/>
        <w:autoSpaceDN w:val="0"/>
        <w:adjustRightInd w:val="0"/>
        <w:spacing w:line="300" w:lineRule="auto"/>
        <w:ind w:firstLine="420"/>
        <w:jc w:val="left"/>
      </w:pPr>
      <w:r>
        <w:rPr>
          <w:rFonts w:hint="eastAsia" w:ascii="宋体" w:hAnsi="宋体" w:cs="宋体"/>
          <w:b/>
          <w:bCs/>
          <w:kern w:val="0"/>
        </w:rPr>
        <w:t xml:space="preserve">能量管理系统 </w:t>
      </w:r>
      <w:r>
        <w:rPr>
          <w:rFonts w:ascii="TimesNewRomanPS-BoldMT" w:hAnsi="TimesNewRomanPS-BoldMT" w:cs="TimesNewRomanPS-BoldMT"/>
          <w:b/>
          <w:bCs/>
          <w:kern w:val="0"/>
          <w:szCs w:val="21"/>
        </w:rPr>
        <w:t>energy management system</w:t>
      </w:r>
    </w:p>
    <w:p>
      <w:pPr>
        <w:widowControl/>
        <w:autoSpaceDE w:val="0"/>
        <w:autoSpaceDN w:val="0"/>
        <w:adjustRightInd w:val="0"/>
        <w:spacing w:line="300" w:lineRule="auto"/>
        <w:ind w:firstLine="420"/>
        <w:jc w:val="left"/>
      </w:pPr>
      <w:r>
        <w:rPr>
          <w:rFonts w:hint="eastAsia"/>
        </w:rPr>
        <w:t>基于信息和通信技术，对多能互补能源系统进行监测、诊断、分析、管理和优化控制的信息化、智能化管理系统。</w:t>
      </w:r>
      <w:bookmarkEnd w:id="21"/>
    </w:p>
    <w:p>
      <w:pPr>
        <w:pStyle w:val="2"/>
        <w:rPr>
          <w:rFonts w:ascii="黑体" w:hAnsi="黑体" w:eastAsia="黑体"/>
          <w:sz w:val="21"/>
        </w:rPr>
      </w:pPr>
      <w:bookmarkStart w:id="22" w:name="_Toc493598874"/>
      <w:bookmarkStart w:id="23" w:name="_Toc27746881"/>
      <w:r>
        <w:rPr>
          <w:rFonts w:hint="eastAsia" w:ascii="黑体" w:hAnsi="黑体" w:eastAsia="黑体"/>
          <w:sz w:val="21"/>
        </w:rPr>
        <w:t>4</w:t>
      </w:r>
      <w:r>
        <w:rPr>
          <w:rFonts w:ascii="黑体" w:hAnsi="黑体" w:eastAsia="黑体"/>
          <w:sz w:val="21"/>
        </w:rPr>
        <w:t xml:space="preserve">  </w:t>
      </w:r>
      <w:r>
        <w:rPr>
          <w:rFonts w:hint="eastAsia" w:ascii="黑体" w:hAnsi="黑体" w:eastAsia="黑体"/>
          <w:sz w:val="21"/>
        </w:rPr>
        <w:t>一般规定</w:t>
      </w:r>
      <w:bookmarkEnd w:id="22"/>
      <w:bookmarkEnd w:id="23"/>
    </w:p>
    <w:p>
      <w:pPr>
        <w:pStyle w:val="2"/>
        <w:spacing w:before="0" w:line="360" w:lineRule="auto"/>
        <w:ind w:firstLine="454" w:firstLineChars="200"/>
        <w:rPr>
          <w:rFonts w:ascii="黑体" w:hAnsi="黑体" w:eastAsia="黑体" w:cs="黑体"/>
          <w:bCs w:val="0"/>
          <w:sz w:val="21"/>
          <w:szCs w:val="21"/>
        </w:rPr>
      </w:pPr>
      <w:bookmarkStart w:id="24" w:name="_Toc27746882"/>
      <w:bookmarkStart w:id="25" w:name="_Toc493597169"/>
      <w:bookmarkStart w:id="26" w:name="_Toc493598875"/>
      <w:r>
        <w:rPr>
          <w:rFonts w:ascii="黑体" w:hAnsi="黑体" w:eastAsia="黑体" w:cs="黑体"/>
          <w:bCs w:val="0"/>
          <w:sz w:val="21"/>
          <w:szCs w:val="21"/>
        </w:rPr>
        <w:t>4.1 组织形式</w:t>
      </w:r>
      <w:bookmarkEnd w:id="24"/>
    </w:p>
    <w:p>
      <w:pPr>
        <w:pStyle w:val="41"/>
        <w:spacing w:line="300" w:lineRule="auto"/>
        <w:ind w:firstLine="420"/>
        <w:rPr>
          <w:szCs w:val="21"/>
        </w:rPr>
      </w:pPr>
      <w:r>
        <w:rPr>
          <w:rFonts w:hint="eastAsia"/>
          <w:szCs w:val="21"/>
        </w:rPr>
        <w:t>应成立验收委员会组织和协调多能互补系统的验收工作，验收委员会宜由政府相关主管部门、项目法人单位、生产单位、质量监督单位等代表和专家组成，建设、设计、施工、监理单位及主要设备供货商应派代表参加验收工作。</w:t>
      </w:r>
    </w:p>
    <w:p>
      <w:pPr>
        <w:pStyle w:val="2"/>
        <w:spacing w:before="0" w:line="360" w:lineRule="auto"/>
        <w:ind w:firstLine="454" w:firstLineChars="200"/>
        <w:rPr>
          <w:rFonts w:ascii="黑体" w:hAnsi="黑体" w:eastAsia="黑体" w:cs="黑体"/>
          <w:bCs w:val="0"/>
          <w:sz w:val="21"/>
          <w:szCs w:val="21"/>
        </w:rPr>
      </w:pPr>
      <w:bookmarkStart w:id="27" w:name="_Toc27746883"/>
      <w:r>
        <w:rPr>
          <w:rFonts w:ascii="黑体" w:hAnsi="黑体" w:eastAsia="黑体" w:cs="黑体"/>
          <w:bCs w:val="0"/>
          <w:sz w:val="21"/>
          <w:szCs w:val="21"/>
        </w:rPr>
        <w:t xml:space="preserve">4.2 </w:t>
      </w:r>
      <w:r>
        <w:rPr>
          <w:rFonts w:hint="eastAsia" w:ascii="黑体" w:hAnsi="黑体" w:eastAsia="黑体" w:cs="黑体"/>
          <w:bCs w:val="0"/>
          <w:sz w:val="21"/>
          <w:szCs w:val="21"/>
        </w:rPr>
        <w:t>验收条件</w:t>
      </w:r>
      <w:bookmarkEnd w:id="25"/>
      <w:bookmarkEnd w:id="26"/>
      <w:bookmarkEnd w:id="27"/>
    </w:p>
    <w:p>
      <w:pPr>
        <w:pStyle w:val="41"/>
        <w:spacing w:line="300" w:lineRule="auto"/>
        <w:ind w:firstLine="420"/>
        <w:rPr>
          <w:szCs w:val="21"/>
        </w:rPr>
      </w:pPr>
      <w:r>
        <w:rPr>
          <w:rFonts w:hint="eastAsia"/>
          <w:szCs w:val="21"/>
        </w:rPr>
        <w:t>竣工验收前应具备下列条件：</w:t>
      </w:r>
    </w:p>
    <w:p>
      <w:pPr>
        <w:pStyle w:val="41"/>
        <w:numPr>
          <w:ilvl w:val="0"/>
          <w:numId w:val="9"/>
        </w:numPr>
        <w:tabs>
          <w:tab w:val="center" w:pos="4201"/>
          <w:tab w:val="right" w:leader="dot" w:pos="9298"/>
        </w:tabs>
        <w:spacing w:line="300" w:lineRule="auto"/>
        <w:ind w:left="420" w:firstLine="0" w:firstLineChars="0"/>
        <w:rPr>
          <w:szCs w:val="21"/>
        </w:rPr>
      </w:pPr>
      <w:r>
        <w:rPr>
          <w:rFonts w:hint="eastAsia"/>
          <w:szCs w:val="21"/>
        </w:rPr>
        <w:t>应在移交生产验收完成后进行。</w:t>
      </w:r>
    </w:p>
    <w:p>
      <w:pPr>
        <w:pStyle w:val="41"/>
        <w:numPr>
          <w:ilvl w:val="0"/>
          <w:numId w:val="9"/>
        </w:numPr>
        <w:tabs>
          <w:tab w:val="center" w:pos="4201"/>
          <w:tab w:val="right" w:leader="dot" w:pos="9298"/>
        </w:tabs>
        <w:spacing w:line="300" w:lineRule="auto"/>
        <w:ind w:left="420" w:firstLine="0" w:firstLineChars="0"/>
        <w:rPr>
          <w:szCs w:val="21"/>
        </w:rPr>
      </w:pPr>
      <w:r>
        <w:rPr>
          <w:rFonts w:hint="eastAsia"/>
          <w:szCs w:val="21"/>
        </w:rPr>
        <w:t>工程已按照施工图纸全部完成，并已提交建设、设计、监理、施工等相关单位签字、盖章的总结报告。</w:t>
      </w:r>
    </w:p>
    <w:p>
      <w:pPr>
        <w:pStyle w:val="41"/>
        <w:numPr>
          <w:ilvl w:val="0"/>
          <w:numId w:val="9"/>
        </w:numPr>
        <w:tabs>
          <w:tab w:val="center" w:pos="4201"/>
          <w:tab w:val="right" w:leader="dot" w:pos="9298"/>
        </w:tabs>
        <w:spacing w:line="300" w:lineRule="auto"/>
        <w:ind w:left="420" w:firstLine="0" w:firstLineChars="0"/>
        <w:rPr>
          <w:szCs w:val="21"/>
        </w:rPr>
      </w:pPr>
      <w:r>
        <w:rPr>
          <w:rFonts w:hint="eastAsia"/>
          <w:szCs w:val="21"/>
        </w:rPr>
        <w:t>消防、环境保护、档案、劳动安全、卫生设施、水土保持等专项工程应已通过政府有关部门审查和验收。</w:t>
      </w:r>
    </w:p>
    <w:p>
      <w:pPr>
        <w:pStyle w:val="41"/>
        <w:numPr>
          <w:ilvl w:val="0"/>
          <w:numId w:val="9"/>
        </w:numPr>
        <w:tabs>
          <w:tab w:val="center" w:pos="4201"/>
          <w:tab w:val="right" w:leader="dot" w:pos="9298"/>
        </w:tabs>
        <w:spacing w:line="300" w:lineRule="auto"/>
        <w:ind w:left="420" w:firstLine="0" w:firstLineChars="0"/>
        <w:rPr>
          <w:szCs w:val="21"/>
        </w:rPr>
      </w:pPr>
      <w:r>
        <w:rPr>
          <w:rFonts w:hint="eastAsia"/>
          <w:szCs w:val="21"/>
        </w:rPr>
        <w:t>验收委员会已批准验收程序。</w:t>
      </w:r>
    </w:p>
    <w:p>
      <w:pPr>
        <w:pStyle w:val="2"/>
        <w:spacing w:before="0" w:line="360" w:lineRule="auto"/>
        <w:ind w:firstLine="454" w:firstLineChars="200"/>
        <w:rPr>
          <w:rFonts w:ascii="黑体" w:hAnsi="黑体" w:eastAsia="黑体" w:cs="黑体"/>
          <w:bCs w:val="0"/>
          <w:sz w:val="21"/>
          <w:szCs w:val="21"/>
        </w:rPr>
      </w:pPr>
      <w:bookmarkStart w:id="28" w:name="_Toc493597170"/>
      <w:bookmarkStart w:id="29" w:name="_Toc493598876"/>
      <w:bookmarkStart w:id="30" w:name="_Toc27746884"/>
      <w:r>
        <w:rPr>
          <w:rFonts w:ascii="黑体" w:hAnsi="黑体" w:eastAsia="黑体" w:cs="黑体"/>
          <w:bCs w:val="0"/>
          <w:sz w:val="21"/>
          <w:szCs w:val="21"/>
        </w:rPr>
        <w:t>4.3 验收</w:t>
      </w:r>
      <w:bookmarkEnd w:id="28"/>
      <w:bookmarkEnd w:id="29"/>
      <w:r>
        <w:rPr>
          <w:rFonts w:hint="eastAsia" w:ascii="黑体" w:hAnsi="黑体" w:eastAsia="黑体" w:cs="黑体"/>
          <w:bCs w:val="0"/>
          <w:sz w:val="21"/>
          <w:szCs w:val="21"/>
        </w:rPr>
        <w:t>内容</w:t>
      </w:r>
      <w:bookmarkEnd w:id="30"/>
    </w:p>
    <w:p>
      <w:pPr>
        <w:pStyle w:val="41"/>
        <w:spacing w:line="300" w:lineRule="auto"/>
        <w:ind w:firstLine="420"/>
        <w:rPr>
          <w:szCs w:val="21"/>
        </w:rPr>
      </w:pPr>
      <w:r>
        <w:rPr>
          <w:szCs w:val="21"/>
        </w:rPr>
        <w:t>验收</w:t>
      </w:r>
      <w:r>
        <w:rPr>
          <w:rFonts w:hint="eastAsia"/>
          <w:szCs w:val="21"/>
        </w:rPr>
        <w:t>内容</w:t>
      </w:r>
      <w:r>
        <w:rPr>
          <w:szCs w:val="21"/>
        </w:rPr>
        <w:t>应</w:t>
      </w:r>
      <w:r>
        <w:rPr>
          <w:rFonts w:hint="eastAsia"/>
          <w:szCs w:val="21"/>
        </w:rPr>
        <w:t>主要</w:t>
      </w:r>
      <w:r>
        <w:rPr>
          <w:szCs w:val="21"/>
        </w:rPr>
        <w:t>包括</w:t>
      </w:r>
      <w:r>
        <w:rPr>
          <w:rFonts w:hint="eastAsia"/>
          <w:szCs w:val="21"/>
        </w:rPr>
        <w:t>以下方面</w:t>
      </w:r>
      <w:r>
        <w:rPr>
          <w:szCs w:val="21"/>
        </w:rPr>
        <w:t>：</w:t>
      </w:r>
    </w:p>
    <w:p>
      <w:pPr>
        <w:pStyle w:val="41"/>
        <w:numPr>
          <w:ilvl w:val="0"/>
          <w:numId w:val="10"/>
        </w:numPr>
        <w:tabs>
          <w:tab w:val="center" w:pos="4201"/>
          <w:tab w:val="right" w:leader="dot" w:pos="9298"/>
        </w:tabs>
        <w:spacing w:line="300" w:lineRule="auto"/>
        <w:ind w:left="420" w:firstLine="0" w:firstLineChars="0"/>
        <w:rPr>
          <w:szCs w:val="21"/>
        </w:rPr>
      </w:pPr>
      <w:r>
        <w:rPr>
          <w:rFonts w:hint="eastAsia"/>
          <w:szCs w:val="21"/>
        </w:rPr>
        <w:t>验收资料</w:t>
      </w:r>
      <w:r>
        <w:rPr>
          <w:szCs w:val="21"/>
        </w:rPr>
        <w:t>检查</w:t>
      </w:r>
      <w:r>
        <w:rPr>
          <w:rFonts w:hint="eastAsia"/>
          <w:szCs w:val="21"/>
        </w:rPr>
        <w:t>；</w:t>
      </w:r>
    </w:p>
    <w:p>
      <w:pPr>
        <w:pStyle w:val="41"/>
        <w:numPr>
          <w:ilvl w:val="0"/>
          <w:numId w:val="10"/>
        </w:numPr>
        <w:tabs>
          <w:tab w:val="center" w:pos="4201"/>
          <w:tab w:val="right" w:leader="dot" w:pos="9298"/>
        </w:tabs>
        <w:spacing w:line="300" w:lineRule="auto"/>
        <w:ind w:left="420" w:firstLine="0" w:firstLineChars="0"/>
        <w:rPr>
          <w:szCs w:val="21"/>
        </w:rPr>
      </w:pPr>
      <w:r>
        <w:rPr>
          <w:rFonts w:hint="eastAsia"/>
          <w:szCs w:val="21"/>
        </w:rPr>
        <w:t>多能互补系统土建及设备安装检查；</w:t>
      </w:r>
      <w:r>
        <w:rPr>
          <w:szCs w:val="21"/>
        </w:rPr>
        <w:t xml:space="preserve"> </w:t>
      </w:r>
    </w:p>
    <w:p>
      <w:pPr>
        <w:pStyle w:val="41"/>
        <w:numPr>
          <w:ilvl w:val="0"/>
          <w:numId w:val="10"/>
        </w:numPr>
        <w:tabs>
          <w:tab w:val="center" w:pos="4201"/>
          <w:tab w:val="right" w:leader="dot" w:pos="9298"/>
        </w:tabs>
        <w:spacing w:line="300" w:lineRule="auto"/>
        <w:ind w:left="420" w:firstLine="0" w:firstLineChars="0"/>
        <w:rPr>
          <w:szCs w:val="21"/>
        </w:rPr>
      </w:pPr>
      <w:r>
        <w:rPr>
          <w:rFonts w:hint="eastAsia"/>
          <w:szCs w:val="21"/>
        </w:rPr>
        <w:t>多能互补子系统功能检查与测试；</w:t>
      </w:r>
    </w:p>
    <w:p>
      <w:pPr>
        <w:pStyle w:val="41"/>
        <w:numPr>
          <w:ilvl w:val="0"/>
          <w:numId w:val="10"/>
        </w:numPr>
        <w:tabs>
          <w:tab w:val="center" w:pos="4201"/>
          <w:tab w:val="right" w:leader="dot" w:pos="9298"/>
        </w:tabs>
        <w:spacing w:line="300" w:lineRule="auto"/>
        <w:ind w:left="420" w:firstLine="0" w:firstLineChars="0"/>
        <w:rPr>
          <w:szCs w:val="21"/>
        </w:rPr>
      </w:pPr>
      <w:r>
        <w:rPr>
          <w:rFonts w:hint="eastAsia"/>
          <w:szCs w:val="21"/>
        </w:rPr>
        <w:t>多能互补系统整体验收与测试。</w:t>
      </w:r>
    </w:p>
    <w:p>
      <w:pPr>
        <w:pStyle w:val="2"/>
        <w:rPr>
          <w:rFonts w:ascii="黑体" w:hAnsi="黑体" w:eastAsia="黑体"/>
          <w:sz w:val="21"/>
        </w:rPr>
      </w:pPr>
      <w:bookmarkStart w:id="31" w:name="_Toc27746885"/>
      <w:r>
        <w:rPr>
          <w:rFonts w:hint="eastAsia" w:ascii="黑体" w:hAnsi="黑体" w:eastAsia="黑体"/>
          <w:sz w:val="21"/>
        </w:rPr>
        <w:t>5</w:t>
      </w:r>
      <w:r>
        <w:rPr>
          <w:rFonts w:ascii="黑体" w:hAnsi="黑体" w:eastAsia="黑体"/>
          <w:sz w:val="21"/>
        </w:rPr>
        <w:t xml:space="preserve">  </w:t>
      </w:r>
      <w:r>
        <w:rPr>
          <w:rFonts w:hint="eastAsia" w:ascii="黑体" w:hAnsi="黑体" w:eastAsia="黑体"/>
          <w:sz w:val="21"/>
        </w:rPr>
        <w:t>验收资料检查</w:t>
      </w:r>
      <w:bookmarkEnd w:id="31"/>
    </w:p>
    <w:p>
      <w:pPr>
        <w:pStyle w:val="2"/>
        <w:spacing w:before="0" w:line="360" w:lineRule="auto"/>
        <w:ind w:firstLine="454" w:firstLineChars="200"/>
        <w:rPr>
          <w:rFonts w:ascii="黑体" w:hAnsi="黑体" w:eastAsia="黑体" w:cs="黑体"/>
          <w:bCs w:val="0"/>
          <w:sz w:val="21"/>
          <w:szCs w:val="21"/>
        </w:rPr>
      </w:pPr>
      <w:bookmarkStart w:id="32" w:name="_Toc27746886"/>
      <w:r>
        <w:rPr>
          <w:rFonts w:hint="eastAsia" w:ascii="黑体" w:hAnsi="黑体" w:eastAsia="黑体" w:cs="黑体"/>
          <w:bCs w:val="0"/>
          <w:sz w:val="21"/>
          <w:szCs w:val="21"/>
        </w:rPr>
        <w:t>5.1</w:t>
      </w:r>
      <w:r>
        <w:rPr>
          <w:rFonts w:ascii="黑体" w:hAnsi="黑体" w:eastAsia="黑体" w:cs="黑体"/>
          <w:bCs w:val="0"/>
          <w:sz w:val="21"/>
          <w:szCs w:val="21"/>
        </w:rPr>
        <w:t xml:space="preserve"> </w:t>
      </w:r>
      <w:r>
        <w:rPr>
          <w:rFonts w:hint="eastAsia" w:ascii="黑体" w:hAnsi="黑体" w:eastAsia="黑体" w:cs="黑体"/>
          <w:bCs w:val="0"/>
          <w:sz w:val="21"/>
          <w:szCs w:val="21"/>
        </w:rPr>
        <w:t>基础文件检查</w:t>
      </w:r>
      <w:bookmarkEnd w:id="32"/>
    </w:p>
    <w:p>
      <w:pPr>
        <w:pStyle w:val="41"/>
        <w:spacing w:line="300" w:lineRule="auto"/>
        <w:ind w:firstLine="420"/>
        <w:rPr>
          <w:rFonts w:ascii="黑体" w:hAnsi="黑体" w:eastAsia="黑体"/>
        </w:rPr>
      </w:pPr>
      <w:r>
        <w:rPr>
          <w:rFonts w:hint="eastAsia" w:ascii="黑体" w:hAnsi="黑体" w:eastAsia="黑体"/>
        </w:rPr>
        <w:t>5.1.1</w:t>
      </w:r>
      <w:r>
        <w:rPr>
          <w:rFonts w:ascii="黑体" w:hAnsi="黑体" w:eastAsia="黑体"/>
        </w:rPr>
        <w:t xml:space="preserve"> </w:t>
      </w:r>
      <w:r>
        <w:rPr>
          <w:rFonts w:hint="eastAsia" w:ascii="黑体" w:hAnsi="黑体" w:eastAsia="黑体"/>
        </w:rPr>
        <w:t>前期文件</w:t>
      </w:r>
    </w:p>
    <w:p>
      <w:pPr>
        <w:pStyle w:val="41"/>
        <w:spacing w:line="300" w:lineRule="auto"/>
        <w:ind w:firstLine="420"/>
        <w:rPr>
          <w:szCs w:val="21"/>
        </w:rPr>
      </w:pPr>
      <w:r>
        <w:rPr>
          <w:rFonts w:hint="eastAsia"/>
          <w:szCs w:val="21"/>
        </w:rPr>
        <w:t>前期文件应包括但不限于以下文件：</w:t>
      </w:r>
    </w:p>
    <w:p>
      <w:pPr>
        <w:pStyle w:val="41"/>
        <w:numPr>
          <w:ilvl w:val="0"/>
          <w:numId w:val="11"/>
        </w:numPr>
        <w:tabs>
          <w:tab w:val="center" w:pos="4201"/>
          <w:tab w:val="right" w:leader="dot" w:pos="9298"/>
        </w:tabs>
        <w:spacing w:line="300" w:lineRule="auto"/>
        <w:ind w:left="420" w:firstLine="0" w:firstLineChars="0"/>
        <w:rPr>
          <w:szCs w:val="21"/>
        </w:rPr>
      </w:pPr>
      <w:r>
        <w:rPr>
          <w:rFonts w:hint="eastAsia"/>
          <w:szCs w:val="21"/>
        </w:rPr>
        <w:t>立项审批文件；</w:t>
      </w:r>
    </w:p>
    <w:p>
      <w:pPr>
        <w:pStyle w:val="41"/>
        <w:numPr>
          <w:ilvl w:val="0"/>
          <w:numId w:val="11"/>
        </w:numPr>
        <w:tabs>
          <w:tab w:val="center" w:pos="4201"/>
          <w:tab w:val="right" w:leader="dot" w:pos="9298"/>
        </w:tabs>
        <w:spacing w:line="300" w:lineRule="auto"/>
        <w:ind w:left="420" w:firstLine="0" w:firstLineChars="0"/>
        <w:rPr>
          <w:szCs w:val="21"/>
        </w:rPr>
      </w:pPr>
      <w:r>
        <w:rPr>
          <w:rFonts w:hint="eastAsia"/>
          <w:szCs w:val="21"/>
        </w:rPr>
        <w:t>占用土地的，应提交项目的用地许可；与建筑结合的，应提交建筑安装许可；</w:t>
      </w:r>
    </w:p>
    <w:p>
      <w:pPr>
        <w:pStyle w:val="41"/>
        <w:numPr>
          <w:ilvl w:val="0"/>
          <w:numId w:val="11"/>
        </w:numPr>
        <w:tabs>
          <w:tab w:val="center" w:pos="4201"/>
          <w:tab w:val="right" w:leader="dot" w:pos="9298"/>
        </w:tabs>
        <w:spacing w:line="300" w:lineRule="auto"/>
        <w:ind w:left="420" w:firstLine="0" w:firstLineChars="0"/>
        <w:rPr>
          <w:szCs w:val="21"/>
        </w:rPr>
      </w:pPr>
      <w:r>
        <w:rPr>
          <w:szCs w:val="21"/>
        </w:rPr>
        <w:t>项目可行性报告</w:t>
      </w:r>
      <w:r>
        <w:rPr>
          <w:rFonts w:hint="eastAsia"/>
          <w:szCs w:val="21"/>
        </w:rPr>
        <w:t>；</w:t>
      </w:r>
    </w:p>
    <w:p>
      <w:pPr>
        <w:pStyle w:val="41"/>
        <w:numPr>
          <w:ilvl w:val="0"/>
          <w:numId w:val="11"/>
        </w:numPr>
        <w:tabs>
          <w:tab w:val="center" w:pos="4201"/>
          <w:tab w:val="right" w:leader="dot" w:pos="9298"/>
        </w:tabs>
        <w:spacing w:line="300" w:lineRule="auto"/>
        <w:ind w:left="420" w:firstLine="0" w:firstLineChars="0"/>
        <w:rPr>
          <w:szCs w:val="21"/>
        </w:rPr>
      </w:pPr>
      <w:r>
        <w:rPr>
          <w:szCs w:val="21"/>
        </w:rPr>
        <w:t>环境保护审批意见</w:t>
      </w:r>
      <w:r>
        <w:rPr>
          <w:rFonts w:hint="eastAsia"/>
          <w:szCs w:val="21"/>
        </w:rPr>
        <w:t>；</w:t>
      </w:r>
    </w:p>
    <w:p>
      <w:pPr>
        <w:pStyle w:val="41"/>
        <w:numPr>
          <w:ilvl w:val="0"/>
          <w:numId w:val="11"/>
        </w:numPr>
        <w:tabs>
          <w:tab w:val="center" w:pos="4201"/>
          <w:tab w:val="right" w:leader="dot" w:pos="9298"/>
        </w:tabs>
        <w:spacing w:line="300" w:lineRule="auto"/>
        <w:ind w:left="420" w:firstLine="0" w:firstLineChars="0"/>
        <w:rPr>
          <w:szCs w:val="21"/>
        </w:rPr>
      </w:pPr>
      <w:r>
        <w:rPr>
          <w:szCs w:val="21"/>
        </w:rPr>
        <w:t>环境影响报告表审批意见</w:t>
      </w:r>
      <w:r>
        <w:rPr>
          <w:rFonts w:hint="eastAsia"/>
          <w:szCs w:val="21"/>
        </w:rPr>
        <w:t>；</w:t>
      </w:r>
    </w:p>
    <w:p>
      <w:pPr>
        <w:pStyle w:val="41"/>
        <w:numPr>
          <w:ilvl w:val="0"/>
          <w:numId w:val="11"/>
        </w:numPr>
        <w:tabs>
          <w:tab w:val="center" w:pos="4201"/>
          <w:tab w:val="right" w:leader="dot" w:pos="9298"/>
        </w:tabs>
        <w:spacing w:line="300" w:lineRule="auto"/>
        <w:ind w:left="420" w:firstLine="0" w:firstLineChars="0"/>
        <w:rPr>
          <w:szCs w:val="21"/>
        </w:rPr>
      </w:pPr>
      <w:r>
        <w:rPr>
          <w:rFonts w:hint="eastAsia"/>
          <w:szCs w:val="21"/>
        </w:rPr>
        <w:t>水</w:t>
      </w:r>
      <w:r>
        <w:rPr>
          <w:szCs w:val="21"/>
        </w:rPr>
        <w:t>土保持方案报告书</w:t>
      </w:r>
      <w:r>
        <w:rPr>
          <w:rFonts w:hint="eastAsia"/>
          <w:szCs w:val="21"/>
        </w:rPr>
        <w:t>；</w:t>
      </w:r>
    </w:p>
    <w:p>
      <w:pPr>
        <w:pStyle w:val="41"/>
        <w:numPr>
          <w:ilvl w:val="0"/>
          <w:numId w:val="11"/>
        </w:numPr>
        <w:tabs>
          <w:tab w:val="center" w:pos="4201"/>
          <w:tab w:val="right" w:leader="dot" w:pos="9298"/>
        </w:tabs>
        <w:spacing w:line="300" w:lineRule="auto"/>
        <w:ind w:left="420" w:firstLine="0" w:firstLineChars="0"/>
      </w:pPr>
      <w:r>
        <w:rPr>
          <w:szCs w:val="21"/>
        </w:rPr>
        <w:t>安全评价报告</w:t>
      </w:r>
      <w:r>
        <w:rPr>
          <w:rFonts w:hint="eastAsia"/>
        </w:rPr>
        <w:t>。</w:t>
      </w:r>
    </w:p>
    <w:p>
      <w:pPr>
        <w:pStyle w:val="41"/>
        <w:numPr>
          <w:ilvl w:val="2"/>
          <w:numId w:val="12"/>
        </w:numPr>
        <w:spacing w:line="300" w:lineRule="auto"/>
        <w:ind w:firstLineChars="0"/>
        <w:rPr>
          <w:rFonts w:ascii="黑体" w:hAnsi="黑体" w:eastAsia="黑体"/>
        </w:rPr>
      </w:pPr>
      <w:r>
        <w:rPr>
          <w:rFonts w:hint="eastAsia" w:ascii="黑体" w:hAnsi="黑体" w:eastAsia="黑体"/>
        </w:rPr>
        <w:t>合同文件</w:t>
      </w:r>
    </w:p>
    <w:p>
      <w:pPr>
        <w:pStyle w:val="41"/>
        <w:spacing w:line="300" w:lineRule="auto"/>
        <w:ind w:left="430" w:firstLine="0" w:firstLineChars="0"/>
        <w:rPr>
          <w:szCs w:val="21"/>
        </w:rPr>
      </w:pPr>
      <w:r>
        <w:rPr>
          <w:rFonts w:hint="eastAsia"/>
          <w:szCs w:val="21"/>
        </w:rPr>
        <w:t>合同文件应包括但不限于以下文件：</w:t>
      </w:r>
    </w:p>
    <w:p>
      <w:pPr>
        <w:pStyle w:val="55"/>
        <w:numPr>
          <w:ilvl w:val="0"/>
          <w:numId w:val="13"/>
        </w:numPr>
        <w:spacing w:line="300" w:lineRule="auto"/>
        <w:ind w:right="210"/>
        <w:rPr>
          <w:szCs w:val="20"/>
        </w:rPr>
      </w:pPr>
      <w:r>
        <w:rPr>
          <w:rFonts w:hint="eastAsia"/>
          <w:szCs w:val="20"/>
        </w:rPr>
        <w:t>所有设备的采购合同；</w:t>
      </w:r>
    </w:p>
    <w:p>
      <w:pPr>
        <w:pStyle w:val="55"/>
        <w:numPr>
          <w:ilvl w:val="0"/>
          <w:numId w:val="13"/>
        </w:numPr>
        <w:spacing w:line="300" w:lineRule="auto"/>
        <w:ind w:right="210"/>
        <w:rPr>
          <w:szCs w:val="20"/>
        </w:rPr>
      </w:pPr>
      <w:r>
        <w:rPr>
          <w:szCs w:val="20"/>
        </w:rPr>
        <w:t>EPC招标文件及合同（或施工招标文件</w:t>
      </w:r>
      <w:r>
        <w:rPr>
          <w:rFonts w:hint="eastAsia"/>
          <w:szCs w:val="20"/>
        </w:rPr>
        <w:t>及</w:t>
      </w:r>
      <w:r>
        <w:rPr>
          <w:szCs w:val="20"/>
        </w:rPr>
        <w:t>合同）</w:t>
      </w:r>
      <w:r>
        <w:rPr>
          <w:rFonts w:hint="eastAsia"/>
          <w:szCs w:val="20"/>
        </w:rPr>
        <w:t>；</w:t>
      </w:r>
    </w:p>
    <w:p>
      <w:pPr>
        <w:pStyle w:val="55"/>
        <w:numPr>
          <w:ilvl w:val="0"/>
          <w:numId w:val="13"/>
        </w:numPr>
        <w:spacing w:line="300" w:lineRule="auto"/>
        <w:ind w:right="210"/>
        <w:rPr>
          <w:szCs w:val="20"/>
        </w:rPr>
      </w:pPr>
      <w:r>
        <w:rPr>
          <w:rFonts w:hint="eastAsia"/>
          <w:szCs w:val="20"/>
        </w:rPr>
        <w:t>监理合同；</w:t>
      </w:r>
    </w:p>
    <w:p>
      <w:pPr>
        <w:pStyle w:val="55"/>
        <w:numPr>
          <w:ilvl w:val="0"/>
          <w:numId w:val="13"/>
        </w:numPr>
        <w:spacing w:line="300" w:lineRule="auto"/>
        <w:ind w:right="210"/>
        <w:rPr>
          <w:szCs w:val="20"/>
        </w:rPr>
      </w:pPr>
      <w:r>
        <w:rPr>
          <w:rFonts w:hint="eastAsia"/>
          <w:szCs w:val="20"/>
        </w:rPr>
        <w:t>土地(房屋</w:t>
      </w:r>
      <w:r>
        <w:rPr>
          <w:szCs w:val="20"/>
        </w:rPr>
        <w:t>)</w:t>
      </w:r>
      <w:r>
        <w:rPr>
          <w:rFonts w:hint="eastAsia"/>
          <w:szCs w:val="20"/>
        </w:rPr>
        <w:t>租赁合同。</w:t>
      </w:r>
    </w:p>
    <w:p>
      <w:pPr>
        <w:pStyle w:val="41"/>
        <w:numPr>
          <w:ilvl w:val="2"/>
          <w:numId w:val="12"/>
        </w:numPr>
        <w:spacing w:line="300" w:lineRule="auto"/>
        <w:ind w:firstLineChars="0"/>
        <w:rPr>
          <w:rFonts w:ascii="黑体" w:hAnsi="黑体" w:eastAsia="黑体"/>
        </w:rPr>
      </w:pPr>
      <w:r>
        <w:rPr>
          <w:rFonts w:hint="eastAsia" w:ascii="黑体" w:hAnsi="黑体" w:eastAsia="黑体"/>
        </w:rPr>
        <w:t>工程建设文件</w:t>
      </w:r>
    </w:p>
    <w:p>
      <w:pPr>
        <w:pStyle w:val="41"/>
        <w:spacing w:line="300" w:lineRule="auto"/>
        <w:ind w:left="550" w:firstLine="0" w:firstLineChars="0"/>
        <w:rPr>
          <w:szCs w:val="21"/>
        </w:rPr>
      </w:pPr>
      <w:r>
        <w:rPr>
          <w:rFonts w:hint="eastAsia"/>
          <w:szCs w:val="21"/>
        </w:rPr>
        <w:t>工程建设文件应包括但不限于以下文件：</w:t>
      </w:r>
    </w:p>
    <w:p>
      <w:pPr>
        <w:pStyle w:val="55"/>
        <w:numPr>
          <w:ilvl w:val="0"/>
          <w:numId w:val="14"/>
        </w:numPr>
        <w:spacing w:line="300" w:lineRule="auto"/>
        <w:ind w:right="210"/>
        <w:rPr>
          <w:szCs w:val="20"/>
        </w:rPr>
      </w:pPr>
      <w:r>
        <w:rPr>
          <w:rFonts w:hint="eastAsia"/>
          <w:szCs w:val="20"/>
        </w:rPr>
        <w:t>项目总体设计方案；</w:t>
      </w:r>
    </w:p>
    <w:p>
      <w:pPr>
        <w:pStyle w:val="55"/>
        <w:numPr>
          <w:ilvl w:val="0"/>
          <w:numId w:val="14"/>
        </w:numPr>
        <w:spacing w:line="300" w:lineRule="auto"/>
        <w:ind w:right="210"/>
        <w:rPr>
          <w:szCs w:val="20"/>
        </w:rPr>
      </w:pPr>
      <w:r>
        <w:rPr>
          <w:rFonts w:hint="eastAsia"/>
          <w:szCs w:val="20"/>
        </w:rPr>
        <w:t>设计、施工、</w:t>
      </w:r>
      <w:r>
        <w:rPr>
          <w:szCs w:val="20"/>
        </w:rPr>
        <w:t>竣工图纸</w:t>
      </w:r>
      <w:r>
        <w:rPr>
          <w:rFonts w:hint="eastAsia"/>
          <w:szCs w:val="20"/>
        </w:rPr>
        <w:t>；</w:t>
      </w:r>
    </w:p>
    <w:p>
      <w:pPr>
        <w:pStyle w:val="55"/>
        <w:numPr>
          <w:ilvl w:val="0"/>
          <w:numId w:val="14"/>
        </w:numPr>
        <w:spacing w:line="300" w:lineRule="auto"/>
        <w:ind w:right="210"/>
        <w:rPr>
          <w:szCs w:val="20"/>
        </w:rPr>
      </w:pPr>
      <w:r>
        <w:rPr>
          <w:rFonts w:hint="eastAsia"/>
          <w:szCs w:val="20"/>
        </w:rPr>
        <w:t>工程竣工报告；</w:t>
      </w:r>
    </w:p>
    <w:p>
      <w:pPr>
        <w:pStyle w:val="55"/>
        <w:numPr>
          <w:ilvl w:val="0"/>
          <w:numId w:val="14"/>
        </w:numPr>
        <w:spacing w:line="300" w:lineRule="auto"/>
        <w:ind w:right="210"/>
        <w:rPr>
          <w:szCs w:val="20"/>
        </w:rPr>
      </w:pPr>
      <w:r>
        <w:rPr>
          <w:szCs w:val="20"/>
        </w:rPr>
        <w:t>隐蔽工程资料</w:t>
      </w:r>
      <w:r>
        <w:rPr>
          <w:rFonts w:hint="eastAsia"/>
          <w:szCs w:val="20"/>
        </w:rPr>
        <w:t>；</w:t>
      </w:r>
    </w:p>
    <w:p>
      <w:pPr>
        <w:pStyle w:val="55"/>
        <w:numPr>
          <w:ilvl w:val="0"/>
          <w:numId w:val="14"/>
        </w:numPr>
        <w:spacing w:line="300" w:lineRule="auto"/>
        <w:ind w:right="210"/>
        <w:rPr>
          <w:szCs w:val="20"/>
        </w:rPr>
      </w:pPr>
      <w:r>
        <w:rPr>
          <w:szCs w:val="20"/>
        </w:rPr>
        <w:t>技术交底资料</w:t>
      </w:r>
      <w:r>
        <w:rPr>
          <w:rFonts w:hint="eastAsia"/>
          <w:szCs w:val="20"/>
        </w:rPr>
        <w:t>；</w:t>
      </w:r>
    </w:p>
    <w:p>
      <w:pPr>
        <w:pStyle w:val="55"/>
        <w:numPr>
          <w:ilvl w:val="0"/>
          <w:numId w:val="14"/>
        </w:numPr>
        <w:spacing w:line="300" w:lineRule="auto"/>
        <w:ind w:right="210"/>
        <w:rPr>
          <w:szCs w:val="20"/>
        </w:rPr>
      </w:pPr>
      <w:r>
        <w:rPr>
          <w:szCs w:val="20"/>
        </w:rPr>
        <w:t>设备移交记录文件</w:t>
      </w:r>
      <w:r>
        <w:rPr>
          <w:rFonts w:hint="eastAsia"/>
          <w:szCs w:val="20"/>
        </w:rPr>
        <w:t>；</w:t>
      </w:r>
    </w:p>
    <w:p>
      <w:pPr>
        <w:pStyle w:val="55"/>
        <w:numPr>
          <w:ilvl w:val="0"/>
          <w:numId w:val="14"/>
        </w:numPr>
        <w:spacing w:line="300" w:lineRule="auto"/>
        <w:ind w:right="210"/>
        <w:rPr>
          <w:szCs w:val="20"/>
        </w:rPr>
      </w:pPr>
      <w:r>
        <w:rPr>
          <w:rFonts w:hint="eastAsia"/>
          <w:szCs w:val="20"/>
        </w:rPr>
        <w:t>施工许可；</w:t>
      </w:r>
    </w:p>
    <w:p>
      <w:pPr>
        <w:pStyle w:val="55"/>
        <w:numPr>
          <w:ilvl w:val="0"/>
          <w:numId w:val="14"/>
        </w:numPr>
        <w:spacing w:line="300" w:lineRule="auto"/>
        <w:ind w:right="210"/>
        <w:rPr>
          <w:szCs w:val="20"/>
        </w:rPr>
      </w:pPr>
      <w:r>
        <w:rPr>
          <w:szCs w:val="20"/>
        </w:rPr>
        <w:t>项目施工组织计划</w:t>
      </w:r>
      <w:r>
        <w:rPr>
          <w:rFonts w:hint="eastAsia"/>
          <w:szCs w:val="20"/>
        </w:rPr>
        <w:t>；</w:t>
      </w:r>
    </w:p>
    <w:p>
      <w:pPr>
        <w:pStyle w:val="55"/>
        <w:numPr>
          <w:ilvl w:val="0"/>
          <w:numId w:val="14"/>
        </w:numPr>
        <w:spacing w:line="300" w:lineRule="auto"/>
        <w:ind w:right="210"/>
        <w:rPr>
          <w:szCs w:val="20"/>
        </w:rPr>
      </w:pPr>
      <w:r>
        <w:rPr>
          <w:szCs w:val="20"/>
        </w:rPr>
        <w:t>施工日志和周报、监理日志和周报</w:t>
      </w:r>
      <w:r>
        <w:rPr>
          <w:rFonts w:hint="eastAsia"/>
          <w:szCs w:val="20"/>
        </w:rPr>
        <w:t>；</w:t>
      </w:r>
    </w:p>
    <w:p>
      <w:pPr>
        <w:pStyle w:val="55"/>
        <w:numPr>
          <w:ilvl w:val="0"/>
          <w:numId w:val="14"/>
        </w:numPr>
        <w:spacing w:line="300" w:lineRule="auto"/>
        <w:ind w:right="210"/>
        <w:rPr>
          <w:szCs w:val="20"/>
        </w:rPr>
      </w:pPr>
      <w:r>
        <w:rPr>
          <w:rFonts w:hint="eastAsia"/>
          <w:szCs w:val="20"/>
        </w:rPr>
        <w:t>安全施工管理文件；</w:t>
      </w:r>
    </w:p>
    <w:p>
      <w:pPr>
        <w:pStyle w:val="55"/>
        <w:numPr>
          <w:ilvl w:val="0"/>
          <w:numId w:val="15"/>
        </w:numPr>
        <w:spacing w:line="300" w:lineRule="auto"/>
        <w:ind w:right="210"/>
        <w:rPr>
          <w:szCs w:val="20"/>
        </w:rPr>
      </w:pPr>
      <w:r>
        <w:rPr>
          <w:rFonts w:hint="eastAsia"/>
          <w:szCs w:val="20"/>
        </w:rPr>
        <w:t>项目应急预案。</w:t>
      </w:r>
    </w:p>
    <w:p>
      <w:pPr>
        <w:pStyle w:val="41"/>
        <w:numPr>
          <w:ilvl w:val="2"/>
          <w:numId w:val="12"/>
        </w:numPr>
        <w:spacing w:line="300" w:lineRule="auto"/>
        <w:ind w:firstLineChars="0"/>
        <w:rPr>
          <w:rFonts w:ascii="黑体" w:hAnsi="黑体" w:eastAsia="黑体"/>
        </w:rPr>
      </w:pPr>
      <w:r>
        <w:rPr>
          <w:rFonts w:hint="eastAsia" w:ascii="黑体" w:hAnsi="黑体" w:eastAsia="黑体"/>
        </w:rPr>
        <w:t>设备类文件</w:t>
      </w:r>
    </w:p>
    <w:p>
      <w:pPr>
        <w:pStyle w:val="41"/>
        <w:spacing w:line="300" w:lineRule="auto"/>
        <w:ind w:firstLine="420"/>
        <w:rPr>
          <w:szCs w:val="21"/>
        </w:rPr>
      </w:pPr>
      <w:r>
        <w:rPr>
          <w:rFonts w:hint="eastAsia"/>
          <w:szCs w:val="21"/>
        </w:rPr>
        <w:t>设备类文件应包括但不限于以下文件：</w:t>
      </w:r>
    </w:p>
    <w:p>
      <w:pPr>
        <w:pStyle w:val="55"/>
        <w:numPr>
          <w:ilvl w:val="4"/>
          <w:numId w:val="0"/>
        </w:numPr>
        <w:spacing w:line="300" w:lineRule="auto"/>
        <w:ind w:right="210" w:firstLine="420" w:firstLineChars="200"/>
        <w:rPr>
          <w:szCs w:val="20"/>
        </w:rPr>
      </w:pPr>
      <w:r>
        <w:rPr>
          <w:rFonts w:hint="eastAsia"/>
          <w:szCs w:val="20"/>
        </w:rPr>
        <w:t>1）设备出厂检验报告、合格证、认证证书、规格书等资料；</w:t>
      </w:r>
    </w:p>
    <w:p>
      <w:pPr>
        <w:pStyle w:val="55"/>
        <w:numPr>
          <w:ilvl w:val="4"/>
          <w:numId w:val="0"/>
        </w:numPr>
        <w:spacing w:line="300" w:lineRule="auto"/>
        <w:ind w:right="210" w:firstLine="420" w:firstLineChars="200"/>
        <w:rPr>
          <w:szCs w:val="20"/>
        </w:rPr>
      </w:pPr>
      <w:r>
        <w:rPr>
          <w:rFonts w:hint="eastAsia"/>
          <w:szCs w:val="20"/>
        </w:rPr>
        <w:t>2）</w:t>
      </w:r>
      <w:r>
        <w:rPr>
          <w:szCs w:val="20"/>
        </w:rPr>
        <w:t>设备调试记录文件</w:t>
      </w:r>
      <w:r>
        <w:rPr>
          <w:rFonts w:hint="eastAsia"/>
          <w:szCs w:val="20"/>
        </w:rPr>
        <w:t>；</w:t>
      </w:r>
    </w:p>
    <w:p>
      <w:pPr>
        <w:pStyle w:val="55"/>
        <w:numPr>
          <w:ilvl w:val="4"/>
          <w:numId w:val="0"/>
        </w:numPr>
        <w:spacing w:line="300" w:lineRule="auto"/>
        <w:ind w:right="210" w:firstLine="420" w:firstLineChars="200"/>
        <w:rPr>
          <w:szCs w:val="20"/>
        </w:rPr>
      </w:pPr>
      <w:r>
        <w:rPr>
          <w:rFonts w:hint="eastAsia"/>
          <w:szCs w:val="20"/>
        </w:rPr>
        <w:t>3）设备监造、发货前检查、到货检查记录及报告；</w:t>
      </w:r>
    </w:p>
    <w:p>
      <w:pPr>
        <w:pStyle w:val="55"/>
        <w:numPr>
          <w:ilvl w:val="4"/>
          <w:numId w:val="0"/>
        </w:numPr>
        <w:spacing w:line="300" w:lineRule="auto"/>
        <w:ind w:right="210" w:firstLine="420" w:firstLineChars="200"/>
        <w:rPr>
          <w:szCs w:val="20"/>
        </w:rPr>
      </w:pPr>
      <w:r>
        <w:rPr>
          <w:rFonts w:hint="eastAsia"/>
          <w:szCs w:val="20"/>
        </w:rPr>
        <w:t>4）设备的材料清单。</w:t>
      </w:r>
    </w:p>
    <w:p>
      <w:pPr>
        <w:pStyle w:val="41"/>
        <w:spacing w:line="300" w:lineRule="auto"/>
        <w:ind w:firstLine="420"/>
        <w:rPr>
          <w:rFonts w:ascii="黑体" w:hAnsi="黑体" w:eastAsia="黑体"/>
        </w:rPr>
      </w:pPr>
      <w:r>
        <w:rPr>
          <w:rFonts w:hint="eastAsia" w:ascii="黑体" w:hAnsi="黑体" w:eastAsia="黑体"/>
        </w:rPr>
        <w:t>5.1.5</w:t>
      </w:r>
      <w:r>
        <w:rPr>
          <w:rFonts w:ascii="黑体" w:hAnsi="黑体" w:eastAsia="黑体"/>
        </w:rPr>
        <w:t xml:space="preserve"> </w:t>
      </w:r>
      <w:r>
        <w:rPr>
          <w:rFonts w:hint="eastAsia" w:ascii="黑体" w:hAnsi="黑体" w:eastAsia="黑体"/>
        </w:rPr>
        <w:t>运维相关文件</w:t>
      </w:r>
    </w:p>
    <w:p>
      <w:pPr>
        <w:pStyle w:val="41"/>
        <w:spacing w:line="300" w:lineRule="auto"/>
        <w:ind w:firstLine="420"/>
        <w:rPr>
          <w:szCs w:val="21"/>
        </w:rPr>
      </w:pPr>
      <w:r>
        <w:rPr>
          <w:rFonts w:hint="eastAsia"/>
          <w:szCs w:val="21"/>
        </w:rPr>
        <w:t>运维相关文件应包括但不限于以下文件：</w:t>
      </w:r>
    </w:p>
    <w:p>
      <w:pPr>
        <w:pStyle w:val="55"/>
        <w:numPr>
          <w:ilvl w:val="4"/>
          <w:numId w:val="0"/>
        </w:numPr>
        <w:spacing w:line="300" w:lineRule="auto"/>
        <w:ind w:right="210" w:firstLine="420" w:firstLineChars="200"/>
        <w:rPr>
          <w:szCs w:val="20"/>
        </w:rPr>
      </w:pPr>
      <w:r>
        <w:rPr>
          <w:rFonts w:hint="eastAsia"/>
          <w:szCs w:val="20"/>
        </w:rPr>
        <w:t>1）运行维护手册；</w:t>
      </w:r>
    </w:p>
    <w:p>
      <w:pPr>
        <w:pStyle w:val="55"/>
        <w:numPr>
          <w:ilvl w:val="4"/>
          <w:numId w:val="0"/>
        </w:numPr>
        <w:spacing w:line="300" w:lineRule="auto"/>
        <w:ind w:right="210" w:firstLine="420" w:firstLineChars="200"/>
        <w:rPr>
          <w:szCs w:val="20"/>
        </w:rPr>
      </w:pPr>
      <w:r>
        <w:rPr>
          <w:rFonts w:hint="eastAsia"/>
          <w:szCs w:val="20"/>
        </w:rPr>
        <w:t>2）故障检修规章。</w:t>
      </w:r>
    </w:p>
    <w:p>
      <w:pPr>
        <w:pStyle w:val="2"/>
        <w:spacing w:before="0" w:line="360" w:lineRule="auto"/>
        <w:ind w:firstLine="454" w:firstLineChars="200"/>
        <w:rPr>
          <w:rFonts w:ascii="黑体" w:hAnsi="黑体" w:eastAsia="黑体" w:cs="黑体"/>
          <w:bCs w:val="0"/>
          <w:sz w:val="21"/>
          <w:szCs w:val="21"/>
        </w:rPr>
      </w:pPr>
      <w:bookmarkStart w:id="33" w:name="_Toc27746887"/>
      <w:r>
        <w:rPr>
          <w:rFonts w:hint="eastAsia" w:ascii="黑体" w:hAnsi="黑体" w:eastAsia="黑体" w:cs="黑体"/>
          <w:bCs w:val="0"/>
          <w:sz w:val="21"/>
          <w:szCs w:val="21"/>
        </w:rPr>
        <w:t>5</w:t>
      </w:r>
      <w:r>
        <w:rPr>
          <w:rFonts w:ascii="黑体" w:hAnsi="黑体" w:eastAsia="黑体" w:cs="黑体"/>
          <w:bCs w:val="0"/>
          <w:sz w:val="21"/>
          <w:szCs w:val="21"/>
        </w:rPr>
        <w:t>.</w:t>
      </w:r>
      <w:r>
        <w:rPr>
          <w:rFonts w:hint="eastAsia" w:ascii="黑体" w:hAnsi="黑体" w:eastAsia="黑体" w:cs="黑体"/>
          <w:bCs w:val="0"/>
          <w:sz w:val="21"/>
          <w:szCs w:val="21"/>
        </w:rPr>
        <w:t>2</w:t>
      </w:r>
      <w:r>
        <w:rPr>
          <w:rFonts w:ascii="黑体" w:hAnsi="黑体" w:eastAsia="黑体" w:cs="黑体"/>
          <w:bCs w:val="0"/>
          <w:sz w:val="21"/>
          <w:szCs w:val="21"/>
        </w:rPr>
        <w:t xml:space="preserve"> </w:t>
      </w:r>
      <w:r>
        <w:rPr>
          <w:rFonts w:hint="eastAsia" w:ascii="黑体" w:hAnsi="黑体" w:eastAsia="黑体" w:cs="黑体"/>
          <w:bCs w:val="0"/>
          <w:sz w:val="21"/>
          <w:szCs w:val="21"/>
        </w:rPr>
        <w:t>系统设备合同符合性检查</w:t>
      </w:r>
      <w:bookmarkEnd w:id="33"/>
    </w:p>
    <w:p>
      <w:pPr>
        <w:pStyle w:val="55"/>
        <w:numPr>
          <w:ilvl w:val="4"/>
          <w:numId w:val="0"/>
        </w:numPr>
        <w:spacing w:line="300" w:lineRule="auto"/>
        <w:ind w:left="210" w:right="210" w:firstLine="420" w:firstLineChars="200"/>
      </w:pPr>
      <w:r>
        <w:t>依据合同，逐项检查所有设备的规格和数量，并做详细记录</w:t>
      </w:r>
      <w:r>
        <w:rPr>
          <w:rFonts w:hint="eastAsia"/>
        </w:rPr>
        <w:t>：</w:t>
      </w:r>
    </w:p>
    <w:p>
      <w:pPr>
        <w:pStyle w:val="55"/>
        <w:numPr>
          <w:ilvl w:val="0"/>
          <w:numId w:val="16"/>
        </w:numPr>
        <w:spacing w:line="300" w:lineRule="auto"/>
        <w:ind w:right="210"/>
        <w:rPr>
          <w:szCs w:val="20"/>
        </w:rPr>
      </w:pPr>
      <w:r>
        <w:rPr>
          <w:rFonts w:hint="eastAsia"/>
          <w:szCs w:val="20"/>
        </w:rPr>
        <w:t>多能互补系统安装容量；</w:t>
      </w:r>
    </w:p>
    <w:p>
      <w:pPr>
        <w:pStyle w:val="55"/>
        <w:numPr>
          <w:ilvl w:val="0"/>
          <w:numId w:val="16"/>
        </w:numPr>
        <w:spacing w:line="300" w:lineRule="auto"/>
        <w:ind w:right="210"/>
        <w:rPr>
          <w:szCs w:val="20"/>
        </w:rPr>
      </w:pPr>
      <w:r>
        <w:rPr>
          <w:rFonts w:hint="eastAsia"/>
          <w:szCs w:val="20"/>
        </w:rPr>
        <w:t>各子系统配比；</w:t>
      </w:r>
    </w:p>
    <w:p>
      <w:pPr>
        <w:pStyle w:val="55"/>
        <w:numPr>
          <w:ilvl w:val="0"/>
          <w:numId w:val="16"/>
        </w:numPr>
        <w:spacing w:line="300" w:lineRule="auto"/>
        <w:ind w:right="210"/>
        <w:rPr>
          <w:szCs w:val="20"/>
        </w:rPr>
      </w:pPr>
      <w:r>
        <w:rPr>
          <w:rFonts w:hint="eastAsia"/>
          <w:szCs w:val="20"/>
        </w:rPr>
        <w:t>光伏子系统关键设备规格及数量；</w:t>
      </w:r>
    </w:p>
    <w:p>
      <w:pPr>
        <w:pStyle w:val="55"/>
        <w:numPr>
          <w:ilvl w:val="0"/>
          <w:numId w:val="16"/>
        </w:numPr>
        <w:spacing w:line="300" w:lineRule="auto"/>
        <w:ind w:right="210"/>
        <w:rPr>
          <w:szCs w:val="20"/>
        </w:rPr>
      </w:pPr>
      <w:r>
        <w:rPr>
          <w:rFonts w:hint="eastAsia"/>
          <w:szCs w:val="20"/>
        </w:rPr>
        <w:t>风电子系统关键设备规格及数量；</w:t>
      </w:r>
    </w:p>
    <w:p>
      <w:pPr>
        <w:pStyle w:val="55"/>
        <w:numPr>
          <w:ilvl w:val="0"/>
          <w:numId w:val="16"/>
        </w:numPr>
        <w:spacing w:line="300" w:lineRule="auto"/>
        <w:ind w:right="210"/>
        <w:rPr>
          <w:szCs w:val="20"/>
        </w:rPr>
      </w:pPr>
      <w:r>
        <w:rPr>
          <w:rFonts w:hint="eastAsia"/>
          <w:szCs w:val="20"/>
        </w:rPr>
        <w:t>电化学储能子系统关键设备规格及数量；</w:t>
      </w:r>
    </w:p>
    <w:p>
      <w:pPr>
        <w:pStyle w:val="55"/>
        <w:numPr>
          <w:ilvl w:val="0"/>
          <w:numId w:val="16"/>
        </w:numPr>
        <w:spacing w:line="300" w:lineRule="auto"/>
        <w:ind w:right="210"/>
        <w:rPr>
          <w:szCs w:val="20"/>
        </w:rPr>
      </w:pPr>
      <w:r>
        <w:rPr>
          <w:rFonts w:hint="eastAsia"/>
          <w:szCs w:val="20"/>
        </w:rPr>
        <w:t>冷热源子系统关键设备规格及数量；</w:t>
      </w:r>
    </w:p>
    <w:p>
      <w:pPr>
        <w:pStyle w:val="55"/>
        <w:numPr>
          <w:ilvl w:val="0"/>
          <w:numId w:val="16"/>
        </w:numPr>
        <w:spacing w:line="300" w:lineRule="auto"/>
        <w:ind w:right="210"/>
        <w:rPr>
          <w:szCs w:val="20"/>
        </w:rPr>
      </w:pPr>
      <w:r>
        <w:rPr>
          <w:rFonts w:hint="eastAsia"/>
          <w:szCs w:val="20"/>
        </w:rPr>
        <w:t>能量管理系统规格。</w:t>
      </w:r>
    </w:p>
    <w:p>
      <w:pPr>
        <w:pStyle w:val="2"/>
        <w:rPr>
          <w:rFonts w:ascii="黑体" w:hAnsi="黑体" w:eastAsia="黑体"/>
          <w:sz w:val="21"/>
        </w:rPr>
      </w:pPr>
      <w:bookmarkStart w:id="34" w:name="_Toc27746888"/>
      <w:r>
        <w:rPr>
          <w:rFonts w:hint="eastAsia" w:ascii="黑体" w:hAnsi="黑体" w:eastAsia="黑体"/>
          <w:sz w:val="21"/>
        </w:rPr>
        <w:t>6</w:t>
      </w:r>
      <w:r>
        <w:rPr>
          <w:rFonts w:ascii="黑体" w:hAnsi="黑体" w:eastAsia="黑体"/>
          <w:sz w:val="21"/>
        </w:rPr>
        <w:t xml:space="preserve">  </w:t>
      </w:r>
      <w:r>
        <w:rPr>
          <w:rFonts w:hint="eastAsia" w:ascii="黑体" w:hAnsi="黑体" w:eastAsia="黑体"/>
          <w:sz w:val="21"/>
        </w:rPr>
        <w:t>多能互补系统土建及设备安装检查</w:t>
      </w:r>
      <w:bookmarkEnd w:id="34"/>
    </w:p>
    <w:p>
      <w:pPr>
        <w:pStyle w:val="2"/>
        <w:spacing w:before="0" w:line="360" w:lineRule="auto"/>
        <w:ind w:firstLine="454" w:firstLineChars="200"/>
        <w:rPr>
          <w:rFonts w:ascii="黑体" w:hAnsi="黑体" w:eastAsia="黑体" w:cs="黑体"/>
          <w:bCs w:val="0"/>
          <w:sz w:val="21"/>
          <w:szCs w:val="21"/>
        </w:rPr>
      </w:pPr>
      <w:bookmarkStart w:id="35" w:name="_Toc27746889"/>
      <w:bookmarkStart w:id="36" w:name="_Toc493598887"/>
      <w:r>
        <w:rPr>
          <w:rFonts w:ascii="黑体" w:hAnsi="黑体" w:eastAsia="黑体" w:cs="黑体"/>
          <w:bCs w:val="0"/>
          <w:sz w:val="21"/>
          <w:szCs w:val="21"/>
        </w:rPr>
        <w:t>6.1 土建工程</w:t>
      </w:r>
      <w:r>
        <w:rPr>
          <w:rFonts w:hint="eastAsia" w:ascii="黑体" w:hAnsi="黑体" w:eastAsia="黑体" w:cs="黑体"/>
          <w:bCs w:val="0"/>
          <w:sz w:val="21"/>
          <w:szCs w:val="21"/>
        </w:rPr>
        <w:t>检查</w:t>
      </w:r>
      <w:bookmarkEnd w:id="35"/>
    </w:p>
    <w:p>
      <w:pPr>
        <w:pStyle w:val="41"/>
        <w:spacing w:line="300" w:lineRule="auto"/>
        <w:ind w:firstLine="420"/>
        <w:rPr>
          <w:rFonts w:ascii="黑体" w:hAnsi="黑体" w:eastAsia="黑体"/>
          <w:szCs w:val="21"/>
        </w:rPr>
      </w:pPr>
      <w:r>
        <w:rPr>
          <w:rFonts w:hint="eastAsia" w:ascii="黑体" w:hAnsi="黑体" w:eastAsia="黑体"/>
          <w:szCs w:val="21"/>
        </w:rPr>
        <w:t>6.1.1</w:t>
      </w:r>
      <w:r>
        <w:rPr>
          <w:rFonts w:ascii="黑体" w:hAnsi="黑体" w:eastAsia="黑体"/>
          <w:szCs w:val="21"/>
        </w:rPr>
        <w:t xml:space="preserve"> </w:t>
      </w:r>
      <w:r>
        <w:rPr>
          <w:rFonts w:hint="eastAsia" w:ascii="黑体" w:hAnsi="黑体" w:eastAsia="黑体"/>
          <w:szCs w:val="21"/>
        </w:rPr>
        <w:t>一般规定</w:t>
      </w:r>
    </w:p>
    <w:p>
      <w:pPr>
        <w:pStyle w:val="41"/>
        <w:spacing w:line="300" w:lineRule="auto"/>
        <w:ind w:firstLine="420"/>
        <w:rPr>
          <w:szCs w:val="21"/>
        </w:rPr>
      </w:pPr>
      <w:r>
        <w:rPr>
          <w:rFonts w:hint="eastAsia"/>
          <w:szCs w:val="21"/>
        </w:rPr>
        <w:t>土建工程的施工应符合</w:t>
      </w:r>
      <w:bookmarkStart w:id="37" w:name="_Hlk25530674"/>
      <w:r>
        <w:rPr>
          <w:rFonts w:hint="eastAsia"/>
          <w:szCs w:val="21"/>
        </w:rPr>
        <w:t>GB 50300的相关规定。</w:t>
      </w:r>
      <w:bookmarkEnd w:id="37"/>
    </w:p>
    <w:p>
      <w:pPr>
        <w:pStyle w:val="41"/>
        <w:spacing w:line="300" w:lineRule="auto"/>
        <w:ind w:firstLine="420"/>
        <w:rPr>
          <w:rFonts w:ascii="黑体" w:hAnsi="黑体" w:eastAsia="黑体"/>
          <w:szCs w:val="21"/>
        </w:rPr>
      </w:pPr>
      <w:r>
        <w:rPr>
          <w:rFonts w:hint="eastAsia" w:ascii="黑体" w:hAnsi="黑体" w:eastAsia="黑体"/>
          <w:szCs w:val="21"/>
        </w:rPr>
        <w:t>6.1.2</w:t>
      </w:r>
      <w:r>
        <w:rPr>
          <w:rFonts w:ascii="黑体" w:hAnsi="黑体" w:eastAsia="黑体"/>
          <w:szCs w:val="21"/>
        </w:rPr>
        <w:t xml:space="preserve"> </w:t>
      </w:r>
      <w:r>
        <w:rPr>
          <w:rFonts w:hint="eastAsia" w:ascii="黑体" w:hAnsi="黑体" w:eastAsia="黑体"/>
          <w:szCs w:val="21"/>
        </w:rPr>
        <w:t>土方工程</w:t>
      </w:r>
    </w:p>
    <w:p>
      <w:pPr>
        <w:pStyle w:val="41"/>
        <w:spacing w:line="300" w:lineRule="auto"/>
        <w:ind w:firstLine="420"/>
        <w:rPr>
          <w:szCs w:val="21"/>
        </w:rPr>
      </w:pPr>
      <w:bookmarkStart w:id="38" w:name="_Hlk25530494"/>
      <w:r>
        <w:rPr>
          <w:rFonts w:hint="eastAsia"/>
          <w:szCs w:val="21"/>
        </w:rPr>
        <w:t>土方工程应符合GB 50202的相关规定。</w:t>
      </w:r>
    </w:p>
    <w:p>
      <w:pPr>
        <w:pStyle w:val="41"/>
        <w:spacing w:line="300" w:lineRule="auto"/>
        <w:ind w:firstLine="420"/>
        <w:rPr>
          <w:szCs w:val="21"/>
        </w:rPr>
      </w:pPr>
      <w:r>
        <w:rPr>
          <w:rFonts w:hint="eastAsia"/>
          <w:szCs w:val="21"/>
        </w:rPr>
        <w:t>土方工程中如遇有爆破工程应符合GB 50201的相关规定。</w:t>
      </w:r>
      <w:bookmarkEnd w:id="38"/>
    </w:p>
    <w:p>
      <w:pPr>
        <w:pStyle w:val="41"/>
        <w:spacing w:line="300" w:lineRule="auto"/>
        <w:ind w:firstLine="420"/>
        <w:rPr>
          <w:rFonts w:ascii="黑体" w:hAnsi="黑体" w:eastAsia="黑体"/>
          <w:szCs w:val="21"/>
        </w:rPr>
      </w:pPr>
      <w:r>
        <w:rPr>
          <w:rFonts w:hint="eastAsia" w:ascii="黑体" w:hAnsi="黑体" w:eastAsia="黑体"/>
          <w:szCs w:val="21"/>
        </w:rPr>
        <w:t>6.1.3</w:t>
      </w:r>
      <w:r>
        <w:rPr>
          <w:rFonts w:ascii="黑体" w:hAnsi="黑体" w:eastAsia="黑体"/>
          <w:szCs w:val="21"/>
        </w:rPr>
        <w:t xml:space="preserve"> </w:t>
      </w:r>
      <w:r>
        <w:rPr>
          <w:rFonts w:hint="eastAsia" w:ascii="黑体" w:hAnsi="黑体" w:eastAsia="黑体"/>
          <w:szCs w:val="21"/>
        </w:rPr>
        <w:t>支架基础</w:t>
      </w:r>
    </w:p>
    <w:p>
      <w:pPr>
        <w:pStyle w:val="41"/>
        <w:spacing w:line="300" w:lineRule="auto"/>
        <w:ind w:firstLine="439" w:firstLineChars="183"/>
        <w:rPr>
          <w:szCs w:val="21"/>
        </w:rPr>
      </w:pPr>
      <w:bookmarkStart w:id="39" w:name="_Hlk25530790"/>
      <w:r>
        <w:rPr>
          <w:rFonts w:hint="eastAsia"/>
          <w:sz w:val="24"/>
          <w:szCs w:val="24"/>
        </w:rPr>
        <w:t>混</w:t>
      </w:r>
      <w:r>
        <w:rPr>
          <w:rFonts w:hint="eastAsia"/>
          <w:szCs w:val="21"/>
        </w:rPr>
        <w:t>凝土独立基础、条形基础的安装应符合GB 50204的相关规定。</w:t>
      </w:r>
    </w:p>
    <w:p>
      <w:pPr>
        <w:pStyle w:val="41"/>
        <w:spacing w:line="300" w:lineRule="auto"/>
        <w:ind w:firstLine="420"/>
        <w:rPr>
          <w:szCs w:val="21"/>
        </w:rPr>
      </w:pPr>
      <w:r>
        <w:rPr>
          <w:rFonts w:hint="eastAsia"/>
          <w:szCs w:val="21"/>
        </w:rPr>
        <w:t>桩基础的施工应符合GB 50202的相关规定。</w:t>
      </w:r>
    </w:p>
    <w:p>
      <w:pPr>
        <w:pStyle w:val="41"/>
        <w:spacing w:line="300" w:lineRule="auto"/>
        <w:ind w:firstLine="420"/>
        <w:rPr>
          <w:szCs w:val="21"/>
        </w:rPr>
      </w:pPr>
      <w:r>
        <w:rPr>
          <w:rFonts w:hint="eastAsia"/>
          <w:szCs w:val="21"/>
        </w:rPr>
        <w:t>外露的金属预埋件（预埋螺栓）应进行防腐处理。</w:t>
      </w:r>
    </w:p>
    <w:p>
      <w:pPr>
        <w:pStyle w:val="41"/>
        <w:spacing w:line="300" w:lineRule="auto"/>
        <w:ind w:firstLine="420"/>
        <w:rPr>
          <w:szCs w:val="21"/>
        </w:rPr>
      </w:pPr>
      <w:r>
        <w:rPr>
          <w:rFonts w:hint="eastAsia"/>
          <w:szCs w:val="21"/>
        </w:rPr>
        <w:t>设备基础的轴线、标高、截面尺寸及垂直度以及预埋螺栓（预埋件）的尺寸偏差应符合GB 51048的规定。</w:t>
      </w:r>
    </w:p>
    <w:p>
      <w:pPr>
        <w:pStyle w:val="41"/>
        <w:spacing w:line="300" w:lineRule="auto"/>
        <w:ind w:firstLine="420"/>
        <w:rPr>
          <w:szCs w:val="21"/>
        </w:rPr>
      </w:pPr>
      <w:r>
        <w:rPr>
          <w:rFonts w:hint="eastAsia"/>
          <w:szCs w:val="21"/>
        </w:rPr>
        <w:t>太阳能集热器基础、储水箱基础以及支架的施工安装应符合G</w:t>
      </w:r>
      <w:r>
        <w:rPr>
          <w:szCs w:val="21"/>
        </w:rPr>
        <w:t>B</w:t>
      </w:r>
      <w:r>
        <w:rPr>
          <w:rFonts w:hint="eastAsia"/>
          <w:szCs w:val="21"/>
        </w:rPr>
        <w:t>/</w:t>
      </w:r>
      <w:r>
        <w:rPr>
          <w:szCs w:val="21"/>
        </w:rPr>
        <w:t xml:space="preserve">T </w:t>
      </w:r>
      <w:r>
        <w:rPr>
          <w:rFonts w:hint="eastAsia"/>
          <w:szCs w:val="21"/>
        </w:rPr>
        <w:t>18713和G</w:t>
      </w:r>
      <w:r>
        <w:rPr>
          <w:szCs w:val="21"/>
        </w:rPr>
        <w:t>B</w:t>
      </w:r>
      <w:r>
        <w:rPr>
          <w:rFonts w:hint="eastAsia"/>
          <w:szCs w:val="21"/>
        </w:rPr>
        <w:t>/</w:t>
      </w:r>
      <w:r>
        <w:rPr>
          <w:szCs w:val="21"/>
        </w:rPr>
        <w:t xml:space="preserve">T </w:t>
      </w:r>
      <w:r>
        <w:rPr>
          <w:rFonts w:hint="eastAsia"/>
          <w:szCs w:val="21"/>
        </w:rPr>
        <w:t>30724的相关规定。</w:t>
      </w:r>
      <w:bookmarkEnd w:id="39"/>
    </w:p>
    <w:p>
      <w:pPr>
        <w:pStyle w:val="41"/>
        <w:spacing w:line="300" w:lineRule="auto"/>
        <w:ind w:firstLine="420"/>
        <w:rPr>
          <w:szCs w:val="21"/>
        </w:rPr>
      </w:pPr>
      <w:r>
        <w:rPr>
          <w:rFonts w:hint="eastAsia"/>
          <w:szCs w:val="21"/>
        </w:rPr>
        <w:t>光伏支架的安装应符合GB/T 50796和GB/T 37655的相关规定。</w:t>
      </w:r>
    </w:p>
    <w:p>
      <w:pPr>
        <w:pStyle w:val="41"/>
        <w:spacing w:line="300" w:lineRule="auto"/>
        <w:ind w:firstLine="420"/>
        <w:rPr>
          <w:rFonts w:ascii="黑体" w:hAnsi="黑体" w:eastAsia="黑体"/>
          <w:szCs w:val="21"/>
        </w:rPr>
      </w:pPr>
      <w:r>
        <w:rPr>
          <w:rFonts w:hint="eastAsia" w:ascii="黑体" w:hAnsi="黑体" w:eastAsia="黑体"/>
          <w:szCs w:val="21"/>
        </w:rPr>
        <w:t>6.1.4</w:t>
      </w:r>
      <w:r>
        <w:rPr>
          <w:rFonts w:ascii="黑体" w:hAnsi="黑体" w:eastAsia="黑体"/>
          <w:szCs w:val="21"/>
        </w:rPr>
        <w:t xml:space="preserve"> </w:t>
      </w:r>
      <w:r>
        <w:rPr>
          <w:rFonts w:hint="eastAsia" w:ascii="黑体" w:hAnsi="黑体" w:eastAsia="黑体"/>
          <w:szCs w:val="21"/>
        </w:rPr>
        <w:t>场地及地下设施</w:t>
      </w:r>
    </w:p>
    <w:p>
      <w:pPr>
        <w:pStyle w:val="41"/>
        <w:spacing w:line="300" w:lineRule="auto"/>
        <w:ind w:firstLine="420"/>
        <w:rPr>
          <w:szCs w:val="21"/>
        </w:rPr>
      </w:pPr>
      <w:r>
        <w:rPr>
          <w:rFonts w:hint="eastAsia"/>
          <w:szCs w:val="21"/>
        </w:rPr>
        <w:t>道路、电缆沟的施工应符合相关设计要求。</w:t>
      </w:r>
    </w:p>
    <w:p>
      <w:pPr>
        <w:pStyle w:val="41"/>
        <w:spacing w:line="300" w:lineRule="auto"/>
        <w:ind w:firstLine="420"/>
        <w:rPr>
          <w:szCs w:val="21"/>
        </w:rPr>
      </w:pPr>
      <w:r>
        <w:rPr>
          <w:rFonts w:hint="eastAsia"/>
          <w:szCs w:val="21"/>
        </w:rPr>
        <w:t>地埋管换热系统、地下水换热系统以及地表水换热系统的施工与安装应符合G</w:t>
      </w:r>
      <w:r>
        <w:rPr>
          <w:szCs w:val="21"/>
        </w:rPr>
        <w:t>B 50366</w:t>
      </w:r>
      <w:r>
        <w:rPr>
          <w:rFonts w:hint="eastAsia"/>
          <w:szCs w:val="21"/>
        </w:rPr>
        <w:t>的相关规定。</w:t>
      </w:r>
    </w:p>
    <w:p>
      <w:pPr>
        <w:pStyle w:val="2"/>
        <w:spacing w:before="0" w:line="360" w:lineRule="auto"/>
        <w:ind w:firstLine="454" w:firstLineChars="200"/>
        <w:rPr>
          <w:rFonts w:ascii="黑体" w:hAnsi="黑体" w:eastAsia="黑体" w:cs="黑体"/>
          <w:bCs w:val="0"/>
          <w:sz w:val="21"/>
          <w:szCs w:val="21"/>
        </w:rPr>
      </w:pPr>
      <w:bookmarkStart w:id="40" w:name="_Toc27746890"/>
      <w:r>
        <w:rPr>
          <w:rFonts w:ascii="黑体" w:hAnsi="黑体" w:eastAsia="黑体" w:cs="黑体"/>
          <w:bCs w:val="0"/>
          <w:sz w:val="21"/>
          <w:szCs w:val="21"/>
        </w:rPr>
        <w:t>6.</w:t>
      </w:r>
      <w:r>
        <w:rPr>
          <w:rFonts w:hint="eastAsia" w:ascii="黑体" w:hAnsi="黑体" w:eastAsia="黑体" w:cs="黑体"/>
          <w:bCs w:val="0"/>
          <w:sz w:val="21"/>
          <w:szCs w:val="21"/>
        </w:rPr>
        <w:t>2</w:t>
      </w:r>
      <w:r>
        <w:rPr>
          <w:rFonts w:ascii="黑体" w:hAnsi="黑体" w:eastAsia="黑体" w:cs="黑体"/>
          <w:bCs w:val="0"/>
          <w:sz w:val="21"/>
          <w:szCs w:val="21"/>
        </w:rPr>
        <w:t xml:space="preserve"> </w:t>
      </w:r>
      <w:r>
        <w:rPr>
          <w:rFonts w:hint="eastAsia" w:ascii="黑体" w:hAnsi="黑体" w:eastAsia="黑体" w:cs="黑体"/>
          <w:bCs w:val="0"/>
          <w:sz w:val="21"/>
          <w:szCs w:val="21"/>
        </w:rPr>
        <w:t>设备安装工程</w:t>
      </w:r>
      <w:bookmarkEnd w:id="36"/>
      <w:r>
        <w:rPr>
          <w:rFonts w:hint="eastAsia" w:ascii="黑体" w:hAnsi="黑体" w:eastAsia="黑体" w:cs="黑体"/>
          <w:bCs w:val="0"/>
          <w:sz w:val="21"/>
          <w:szCs w:val="21"/>
        </w:rPr>
        <w:t>检查</w:t>
      </w:r>
      <w:bookmarkEnd w:id="40"/>
    </w:p>
    <w:p>
      <w:pPr>
        <w:pStyle w:val="41"/>
        <w:spacing w:line="300" w:lineRule="auto"/>
        <w:ind w:firstLine="420"/>
        <w:rPr>
          <w:rFonts w:ascii="黑体" w:hAnsi="黑体" w:eastAsia="黑体"/>
          <w:szCs w:val="21"/>
        </w:rPr>
      </w:pPr>
      <w:r>
        <w:rPr>
          <w:rFonts w:hint="eastAsia" w:ascii="黑体" w:hAnsi="黑体" w:eastAsia="黑体"/>
          <w:szCs w:val="21"/>
        </w:rPr>
        <w:t>6.2.1</w:t>
      </w:r>
      <w:r>
        <w:rPr>
          <w:rFonts w:ascii="黑体" w:hAnsi="黑体" w:eastAsia="黑体"/>
          <w:szCs w:val="21"/>
        </w:rPr>
        <w:t xml:space="preserve"> </w:t>
      </w:r>
      <w:r>
        <w:rPr>
          <w:rFonts w:hint="eastAsia" w:ascii="黑体" w:hAnsi="黑体" w:eastAsia="黑体"/>
          <w:szCs w:val="21"/>
        </w:rPr>
        <w:t>一般规定</w:t>
      </w:r>
    </w:p>
    <w:p>
      <w:pPr>
        <w:autoSpaceDE w:val="0"/>
        <w:autoSpaceDN w:val="0"/>
        <w:adjustRightInd w:val="0"/>
        <w:spacing w:line="300" w:lineRule="auto"/>
        <w:ind w:firstLine="420" w:firstLineChars="200"/>
        <w:jc w:val="left"/>
        <w:rPr>
          <w:kern w:val="0"/>
          <w:szCs w:val="21"/>
        </w:rPr>
      </w:pPr>
      <w:r>
        <w:rPr>
          <w:kern w:val="0"/>
          <w:szCs w:val="21"/>
        </w:rPr>
        <w:t>电气设备的外观、</w:t>
      </w:r>
      <w:r>
        <w:rPr>
          <w:rFonts w:hint="eastAsia"/>
          <w:kern w:val="0"/>
          <w:szCs w:val="21"/>
        </w:rPr>
        <w:t>规格、材质</w:t>
      </w:r>
      <w:r>
        <w:rPr>
          <w:kern w:val="0"/>
          <w:szCs w:val="21"/>
        </w:rPr>
        <w:t>、标识和安全性</w:t>
      </w:r>
      <w:r>
        <w:rPr>
          <w:rFonts w:hint="eastAsia"/>
          <w:kern w:val="0"/>
          <w:szCs w:val="21"/>
        </w:rPr>
        <w:t>应符合</w:t>
      </w:r>
      <w:bookmarkStart w:id="41" w:name="_Hlk25532311"/>
      <w:r>
        <w:rPr>
          <w:kern w:val="0"/>
          <w:szCs w:val="21"/>
        </w:rPr>
        <w:t>GB/T 16895</w:t>
      </w:r>
      <w:bookmarkEnd w:id="41"/>
      <w:r>
        <w:rPr>
          <w:rFonts w:hint="eastAsia"/>
          <w:kern w:val="0"/>
          <w:szCs w:val="21"/>
        </w:rPr>
        <w:t>的规定和相关设计要求</w:t>
      </w:r>
      <w:r>
        <w:rPr>
          <w:kern w:val="0"/>
          <w:szCs w:val="21"/>
        </w:rPr>
        <w:t>。</w:t>
      </w:r>
    </w:p>
    <w:p>
      <w:pPr>
        <w:autoSpaceDE w:val="0"/>
        <w:autoSpaceDN w:val="0"/>
        <w:adjustRightInd w:val="0"/>
        <w:spacing w:line="300" w:lineRule="auto"/>
        <w:ind w:firstLine="420" w:firstLineChars="200"/>
        <w:jc w:val="left"/>
        <w:rPr>
          <w:kern w:val="0"/>
          <w:szCs w:val="21"/>
        </w:rPr>
      </w:pPr>
      <w:r>
        <w:rPr>
          <w:rFonts w:hint="eastAsia"/>
          <w:kern w:val="0"/>
          <w:szCs w:val="21"/>
        </w:rPr>
        <w:t>电气设备的安装应符合G</w:t>
      </w:r>
      <w:r>
        <w:rPr>
          <w:kern w:val="0"/>
          <w:szCs w:val="21"/>
        </w:rPr>
        <w:t xml:space="preserve">B </w:t>
      </w:r>
      <w:r>
        <w:rPr>
          <w:rFonts w:hint="eastAsia"/>
          <w:kern w:val="0"/>
          <w:szCs w:val="21"/>
        </w:rPr>
        <w:t>50150和G</w:t>
      </w:r>
      <w:r>
        <w:rPr>
          <w:kern w:val="0"/>
          <w:szCs w:val="21"/>
        </w:rPr>
        <w:t xml:space="preserve">B </w:t>
      </w:r>
      <w:r>
        <w:rPr>
          <w:rFonts w:hint="eastAsia"/>
          <w:kern w:val="0"/>
          <w:szCs w:val="21"/>
        </w:rPr>
        <w:t>50303的相关规定。</w:t>
      </w:r>
    </w:p>
    <w:p>
      <w:pPr>
        <w:pStyle w:val="41"/>
        <w:spacing w:line="300" w:lineRule="auto"/>
        <w:ind w:firstLine="420"/>
        <w:rPr>
          <w:szCs w:val="21"/>
        </w:rPr>
      </w:pPr>
      <w:r>
        <w:rPr>
          <w:szCs w:val="21"/>
        </w:rPr>
        <w:t>设备制造单位提供的产品说明书、试验记录、合格证件、安装图纸、备品备件和专用工具及其清单等应完整齐备。</w:t>
      </w:r>
    </w:p>
    <w:p>
      <w:pPr>
        <w:pStyle w:val="41"/>
        <w:spacing w:line="300" w:lineRule="auto"/>
        <w:ind w:firstLine="420"/>
        <w:rPr>
          <w:szCs w:val="21"/>
        </w:rPr>
      </w:pPr>
      <w:r>
        <w:rPr>
          <w:szCs w:val="21"/>
        </w:rPr>
        <w:t>设备抽检记录和报告、安装调试记录和报告、施工中的关键工序检查签证记录、质量控制、自检验收记录等资料应完整齐备。</w:t>
      </w:r>
    </w:p>
    <w:p>
      <w:pPr>
        <w:pStyle w:val="41"/>
        <w:spacing w:line="300" w:lineRule="auto"/>
        <w:ind w:firstLine="420"/>
        <w:rPr>
          <w:rFonts w:ascii="黑体" w:hAnsi="黑体" w:eastAsia="黑体"/>
          <w:szCs w:val="21"/>
        </w:rPr>
      </w:pPr>
      <w:r>
        <w:rPr>
          <w:rFonts w:hint="eastAsia" w:ascii="黑体" w:hAnsi="黑体" w:eastAsia="黑体"/>
          <w:szCs w:val="21"/>
        </w:rPr>
        <w:t>6.2.2</w:t>
      </w:r>
      <w:r>
        <w:rPr>
          <w:rFonts w:ascii="黑体" w:hAnsi="黑体" w:eastAsia="黑体"/>
          <w:szCs w:val="21"/>
        </w:rPr>
        <w:t xml:space="preserve"> </w:t>
      </w:r>
      <w:r>
        <w:rPr>
          <w:rFonts w:hint="eastAsia" w:ascii="黑体" w:hAnsi="黑体" w:eastAsia="黑体"/>
          <w:szCs w:val="21"/>
        </w:rPr>
        <w:t>太阳能热水系统</w:t>
      </w:r>
    </w:p>
    <w:p>
      <w:pPr>
        <w:pStyle w:val="41"/>
        <w:spacing w:line="300" w:lineRule="auto"/>
        <w:ind w:firstLine="420"/>
        <w:rPr>
          <w:szCs w:val="21"/>
        </w:rPr>
      </w:pPr>
      <w:r>
        <w:rPr>
          <w:rFonts w:hint="eastAsia"/>
          <w:szCs w:val="21"/>
        </w:rPr>
        <w:t>太阳能热水系统的安装应符合G</w:t>
      </w:r>
      <w:r>
        <w:rPr>
          <w:szCs w:val="21"/>
        </w:rPr>
        <w:t>B</w:t>
      </w:r>
      <w:r>
        <w:rPr>
          <w:rFonts w:hint="eastAsia"/>
          <w:szCs w:val="21"/>
        </w:rPr>
        <w:t>/</w:t>
      </w:r>
      <w:r>
        <w:rPr>
          <w:szCs w:val="21"/>
        </w:rPr>
        <w:t xml:space="preserve">T </w:t>
      </w:r>
      <w:r>
        <w:rPr>
          <w:rFonts w:hint="eastAsia"/>
          <w:szCs w:val="21"/>
        </w:rPr>
        <w:t>18713和G</w:t>
      </w:r>
      <w:r>
        <w:rPr>
          <w:szCs w:val="21"/>
        </w:rPr>
        <w:t>B</w:t>
      </w:r>
      <w:r>
        <w:rPr>
          <w:rFonts w:hint="eastAsia"/>
          <w:szCs w:val="21"/>
        </w:rPr>
        <w:t>/</w:t>
      </w:r>
      <w:r>
        <w:rPr>
          <w:szCs w:val="21"/>
        </w:rPr>
        <w:t xml:space="preserve">T </w:t>
      </w:r>
      <w:r>
        <w:rPr>
          <w:rFonts w:hint="eastAsia"/>
          <w:szCs w:val="21"/>
        </w:rPr>
        <w:t>30724的相关规定。</w:t>
      </w:r>
    </w:p>
    <w:p>
      <w:pPr>
        <w:pStyle w:val="41"/>
        <w:numPr>
          <w:ilvl w:val="0"/>
          <w:numId w:val="17"/>
        </w:numPr>
        <w:spacing w:line="300" w:lineRule="auto"/>
        <w:ind w:firstLineChars="0"/>
        <w:rPr>
          <w:szCs w:val="21"/>
        </w:rPr>
      </w:pPr>
      <w:r>
        <w:rPr>
          <w:rFonts w:hint="eastAsia"/>
          <w:szCs w:val="21"/>
        </w:rPr>
        <w:t>太阳集热器相互连接应按照产品设计要求安装，应可靠地固定在支架上。</w:t>
      </w:r>
    </w:p>
    <w:p>
      <w:pPr>
        <w:pStyle w:val="41"/>
        <w:numPr>
          <w:ilvl w:val="0"/>
          <w:numId w:val="17"/>
        </w:numPr>
        <w:spacing w:line="300" w:lineRule="auto"/>
        <w:ind w:firstLineChars="0"/>
        <w:rPr>
          <w:szCs w:val="21"/>
        </w:rPr>
      </w:pPr>
      <w:r>
        <w:rPr>
          <w:rFonts w:hint="eastAsia"/>
          <w:szCs w:val="21"/>
        </w:rPr>
        <w:t>储水箱和支架之间应有隔热垫，储水箱应进行检漏并做防腐处理及保温。</w:t>
      </w:r>
    </w:p>
    <w:p>
      <w:pPr>
        <w:pStyle w:val="41"/>
        <w:numPr>
          <w:ilvl w:val="0"/>
          <w:numId w:val="17"/>
        </w:numPr>
        <w:spacing w:line="300" w:lineRule="auto"/>
        <w:ind w:firstLineChars="0"/>
        <w:rPr>
          <w:szCs w:val="21"/>
        </w:rPr>
      </w:pPr>
      <w:r>
        <w:rPr>
          <w:rFonts w:hint="eastAsia"/>
          <w:szCs w:val="21"/>
        </w:rPr>
        <w:t>压力表、流量计和热能表等应安装在便于观察的地方，手动阀门应安装在易操作的位置。</w:t>
      </w:r>
    </w:p>
    <w:p>
      <w:pPr>
        <w:pStyle w:val="41"/>
        <w:numPr>
          <w:ilvl w:val="0"/>
          <w:numId w:val="17"/>
        </w:numPr>
        <w:spacing w:line="300" w:lineRule="auto"/>
        <w:ind w:firstLineChars="0"/>
        <w:rPr>
          <w:szCs w:val="21"/>
        </w:rPr>
      </w:pPr>
      <w:r>
        <w:rPr>
          <w:rFonts w:hint="eastAsia"/>
          <w:szCs w:val="21"/>
        </w:rPr>
        <w:t>温度传感器的定位和安装应保证与被测温部位有良好的热接触，温度传感器四周应进行良好的保温。</w:t>
      </w:r>
    </w:p>
    <w:p>
      <w:pPr>
        <w:pStyle w:val="41"/>
        <w:spacing w:line="300" w:lineRule="auto"/>
        <w:ind w:firstLine="420"/>
        <w:rPr>
          <w:rFonts w:ascii="黑体" w:hAnsi="黑体" w:eastAsia="黑体"/>
          <w:szCs w:val="21"/>
        </w:rPr>
      </w:pPr>
      <w:r>
        <w:rPr>
          <w:rFonts w:hint="eastAsia" w:ascii="黑体" w:hAnsi="黑体" w:eastAsia="黑体"/>
          <w:szCs w:val="21"/>
        </w:rPr>
        <w:t>6.2.3</w:t>
      </w:r>
      <w:r>
        <w:rPr>
          <w:rFonts w:ascii="黑体" w:hAnsi="黑体" w:eastAsia="黑体"/>
          <w:szCs w:val="21"/>
        </w:rPr>
        <w:t xml:space="preserve"> </w:t>
      </w:r>
      <w:r>
        <w:rPr>
          <w:rFonts w:hint="eastAsia" w:ascii="黑体" w:hAnsi="黑体" w:eastAsia="黑体"/>
          <w:szCs w:val="21"/>
        </w:rPr>
        <w:t>空气源热泵系统</w:t>
      </w:r>
    </w:p>
    <w:p>
      <w:pPr>
        <w:pStyle w:val="41"/>
        <w:spacing w:line="300" w:lineRule="auto"/>
        <w:ind w:firstLine="420"/>
        <w:rPr>
          <w:szCs w:val="21"/>
        </w:rPr>
      </w:pPr>
      <w:r>
        <w:rPr>
          <w:rFonts w:hint="eastAsia"/>
          <w:szCs w:val="21"/>
        </w:rPr>
        <w:t>空气源热泵系统的安装应符合</w:t>
      </w:r>
      <w:r>
        <w:t>GB 50243</w:t>
      </w:r>
      <w:r>
        <w:rPr>
          <w:rFonts w:hint="eastAsia"/>
        </w:rPr>
        <w:t>和</w:t>
      </w:r>
      <w:r>
        <w:t>GB 502</w:t>
      </w:r>
      <w:r>
        <w:rPr>
          <w:rFonts w:hint="eastAsia"/>
        </w:rPr>
        <w:t>74</w:t>
      </w:r>
      <w:r>
        <w:rPr>
          <w:rFonts w:hint="eastAsia"/>
          <w:szCs w:val="21"/>
        </w:rPr>
        <w:t>的相关规定。</w:t>
      </w:r>
    </w:p>
    <w:p>
      <w:pPr>
        <w:pStyle w:val="41"/>
        <w:numPr>
          <w:ilvl w:val="0"/>
          <w:numId w:val="18"/>
        </w:numPr>
        <w:spacing w:line="300" w:lineRule="auto"/>
        <w:ind w:firstLineChars="0"/>
        <w:rPr>
          <w:szCs w:val="21"/>
        </w:rPr>
      </w:pPr>
      <w:r>
        <w:rPr>
          <w:rFonts w:hint="eastAsia"/>
          <w:szCs w:val="21"/>
        </w:rPr>
        <w:t>空气源热泵室外机组应安装在有足够强度的水平基础之上，应采取减震设施，并设置室外防护措施。</w:t>
      </w:r>
    </w:p>
    <w:p>
      <w:pPr>
        <w:pStyle w:val="41"/>
        <w:numPr>
          <w:ilvl w:val="0"/>
          <w:numId w:val="18"/>
        </w:numPr>
        <w:spacing w:line="300" w:lineRule="auto"/>
        <w:ind w:firstLineChars="0"/>
        <w:rPr>
          <w:szCs w:val="21"/>
        </w:rPr>
      </w:pPr>
      <w:r>
        <w:rPr>
          <w:rFonts w:hint="eastAsia"/>
          <w:szCs w:val="21"/>
        </w:rPr>
        <w:t>室外敷设的电气线路管线接线盒、出线口应做防水防护处理。</w:t>
      </w:r>
    </w:p>
    <w:p>
      <w:pPr>
        <w:pStyle w:val="41"/>
        <w:numPr>
          <w:ilvl w:val="0"/>
          <w:numId w:val="18"/>
        </w:numPr>
        <w:spacing w:line="300" w:lineRule="auto"/>
        <w:ind w:firstLineChars="0"/>
        <w:rPr>
          <w:szCs w:val="21"/>
        </w:rPr>
      </w:pPr>
      <w:r>
        <w:rPr>
          <w:rFonts w:hint="eastAsia"/>
          <w:szCs w:val="21"/>
        </w:rPr>
        <w:t>空气源热泵热水机组或循环水泵的进出口应安装压力表。</w:t>
      </w:r>
    </w:p>
    <w:p>
      <w:pPr>
        <w:pStyle w:val="41"/>
        <w:numPr>
          <w:ilvl w:val="0"/>
          <w:numId w:val="18"/>
        </w:numPr>
        <w:spacing w:line="300" w:lineRule="auto"/>
        <w:ind w:firstLineChars="0"/>
        <w:rPr>
          <w:szCs w:val="21"/>
        </w:rPr>
      </w:pPr>
      <w:r>
        <w:rPr>
          <w:rFonts w:hint="eastAsia"/>
          <w:szCs w:val="21"/>
        </w:rPr>
        <w:t>电气设备的保护器件及接地安装应按照产品及设计要求进整定和接线到位。</w:t>
      </w:r>
    </w:p>
    <w:p>
      <w:pPr>
        <w:pStyle w:val="41"/>
        <w:spacing w:line="300" w:lineRule="auto"/>
        <w:ind w:firstLine="420"/>
        <w:rPr>
          <w:rFonts w:ascii="黑体" w:hAnsi="黑体" w:eastAsia="黑体"/>
          <w:szCs w:val="21"/>
        </w:rPr>
      </w:pPr>
      <w:r>
        <w:rPr>
          <w:rFonts w:hint="eastAsia" w:ascii="黑体" w:hAnsi="黑体" w:eastAsia="黑体"/>
          <w:szCs w:val="21"/>
        </w:rPr>
        <w:t>6.2.4</w:t>
      </w:r>
      <w:r>
        <w:rPr>
          <w:rFonts w:ascii="黑体" w:hAnsi="黑体" w:eastAsia="黑体"/>
          <w:szCs w:val="21"/>
        </w:rPr>
        <w:t xml:space="preserve"> </w:t>
      </w:r>
      <w:r>
        <w:rPr>
          <w:rFonts w:hint="eastAsia" w:ascii="黑体" w:hAnsi="黑体" w:eastAsia="黑体"/>
          <w:szCs w:val="21"/>
        </w:rPr>
        <w:t>地源热泵系统</w:t>
      </w:r>
    </w:p>
    <w:p>
      <w:pPr>
        <w:pStyle w:val="41"/>
        <w:spacing w:line="300" w:lineRule="auto"/>
        <w:ind w:firstLine="420"/>
        <w:rPr>
          <w:szCs w:val="21"/>
        </w:rPr>
      </w:pPr>
      <w:r>
        <w:rPr>
          <w:rFonts w:hint="eastAsia"/>
          <w:szCs w:val="21"/>
        </w:rPr>
        <w:t>地源热泵系统的安装应符合</w:t>
      </w:r>
      <w:r>
        <w:rPr>
          <w:szCs w:val="21"/>
        </w:rPr>
        <w:t>GB 50366</w:t>
      </w:r>
      <w:r>
        <w:rPr>
          <w:rFonts w:hint="eastAsia"/>
          <w:szCs w:val="21"/>
        </w:rPr>
        <w:t>和</w:t>
      </w:r>
      <w:r>
        <w:rPr>
          <w:szCs w:val="21"/>
        </w:rPr>
        <w:t>GB 50243</w:t>
      </w:r>
      <w:r>
        <w:rPr>
          <w:rFonts w:hint="eastAsia"/>
          <w:szCs w:val="21"/>
        </w:rPr>
        <w:t>的相关规定。</w:t>
      </w:r>
    </w:p>
    <w:p>
      <w:pPr>
        <w:pStyle w:val="41"/>
        <w:numPr>
          <w:ilvl w:val="0"/>
          <w:numId w:val="19"/>
        </w:numPr>
        <w:spacing w:line="300" w:lineRule="auto"/>
        <w:ind w:firstLineChars="0"/>
        <w:rPr>
          <w:szCs w:val="21"/>
        </w:rPr>
      </w:pPr>
      <w:r>
        <w:rPr>
          <w:rFonts w:hint="eastAsia"/>
          <w:szCs w:val="21"/>
        </w:rPr>
        <w:t>地埋管换热系统/地表水换热系统各环路流量应平衡，且应满足设计要求。</w:t>
      </w:r>
    </w:p>
    <w:p>
      <w:pPr>
        <w:pStyle w:val="41"/>
        <w:numPr>
          <w:ilvl w:val="0"/>
          <w:numId w:val="19"/>
        </w:numPr>
        <w:spacing w:line="300" w:lineRule="auto"/>
        <w:ind w:firstLineChars="0"/>
        <w:rPr>
          <w:szCs w:val="21"/>
        </w:rPr>
      </w:pPr>
      <w:r>
        <w:rPr>
          <w:rFonts w:hint="eastAsia"/>
          <w:szCs w:val="21"/>
        </w:rPr>
        <w:t>换热盘管的长度、布置方式及管沟设置应符合设计要求。</w:t>
      </w:r>
    </w:p>
    <w:p>
      <w:pPr>
        <w:pStyle w:val="41"/>
        <w:numPr>
          <w:ilvl w:val="0"/>
          <w:numId w:val="19"/>
        </w:numPr>
        <w:spacing w:line="300" w:lineRule="auto"/>
        <w:ind w:firstLineChars="0"/>
        <w:rPr>
          <w:szCs w:val="21"/>
        </w:rPr>
      </w:pPr>
      <w:r>
        <w:rPr>
          <w:rFonts w:hint="eastAsia"/>
          <w:szCs w:val="21"/>
        </w:rPr>
        <w:t>防冻剂和防腐剂的特性及浓度应符合设计要求。</w:t>
      </w:r>
    </w:p>
    <w:p>
      <w:pPr>
        <w:pStyle w:val="41"/>
        <w:numPr>
          <w:ilvl w:val="0"/>
          <w:numId w:val="19"/>
        </w:numPr>
        <w:spacing w:line="300" w:lineRule="auto"/>
        <w:ind w:firstLineChars="0"/>
        <w:rPr>
          <w:szCs w:val="21"/>
        </w:rPr>
      </w:pPr>
      <w:r>
        <w:rPr>
          <w:rFonts w:hint="eastAsia"/>
          <w:szCs w:val="21"/>
        </w:rPr>
        <w:t>水源热泵机组、附属设备、管道、管件及阀门的型号、规格、性能及技术参数应符合设计要求。</w:t>
      </w:r>
    </w:p>
    <w:p>
      <w:pPr>
        <w:pStyle w:val="41"/>
        <w:spacing w:line="300" w:lineRule="auto"/>
        <w:ind w:firstLine="420"/>
        <w:rPr>
          <w:rFonts w:ascii="黑体" w:hAnsi="黑体" w:eastAsia="黑体"/>
          <w:szCs w:val="21"/>
        </w:rPr>
      </w:pPr>
      <w:r>
        <w:rPr>
          <w:rFonts w:hint="eastAsia" w:ascii="黑体" w:hAnsi="黑体" w:eastAsia="黑体"/>
          <w:szCs w:val="21"/>
        </w:rPr>
        <w:t>6.2.5</w:t>
      </w:r>
      <w:r>
        <w:rPr>
          <w:rFonts w:ascii="黑体" w:hAnsi="黑体" w:eastAsia="黑体"/>
          <w:szCs w:val="21"/>
        </w:rPr>
        <w:t xml:space="preserve"> </w:t>
      </w:r>
      <w:r>
        <w:rPr>
          <w:rFonts w:hint="eastAsia" w:ascii="黑体" w:hAnsi="黑体" w:eastAsia="黑体"/>
          <w:szCs w:val="21"/>
        </w:rPr>
        <w:t>光伏发电系统</w:t>
      </w:r>
    </w:p>
    <w:p>
      <w:pPr>
        <w:pStyle w:val="41"/>
        <w:spacing w:line="300" w:lineRule="auto"/>
        <w:ind w:firstLine="420"/>
        <w:rPr>
          <w:szCs w:val="21"/>
        </w:rPr>
      </w:pPr>
      <w:r>
        <w:rPr>
          <w:rFonts w:hint="eastAsia"/>
          <w:szCs w:val="21"/>
        </w:rPr>
        <w:t>光伏发电系统的安装应符合GB/T 50796的相关规定。</w:t>
      </w:r>
    </w:p>
    <w:p>
      <w:pPr>
        <w:pStyle w:val="41"/>
        <w:numPr>
          <w:ilvl w:val="0"/>
          <w:numId w:val="20"/>
        </w:numPr>
        <w:spacing w:line="300" w:lineRule="auto"/>
        <w:ind w:firstLineChars="0"/>
        <w:rPr>
          <w:szCs w:val="21"/>
        </w:rPr>
      </w:pPr>
      <w:r>
        <w:rPr>
          <w:rFonts w:hint="eastAsia"/>
          <w:szCs w:val="21"/>
        </w:rPr>
        <w:t>屋顶混凝土结构块或承压块及砌体外表应无严重的裂缝、孔洞、露筋情况，砌筑整齐平整、无明显歪斜、前后错位和高低错位。</w:t>
      </w:r>
    </w:p>
    <w:p>
      <w:pPr>
        <w:pStyle w:val="41"/>
        <w:numPr>
          <w:ilvl w:val="0"/>
          <w:numId w:val="20"/>
        </w:numPr>
        <w:spacing w:line="300" w:lineRule="auto"/>
        <w:ind w:firstLineChars="0"/>
        <w:rPr>
          <w:szCs w:val="21"/>
        </w:rPr>
      </w:pPr>
      <w:r>
        <w:rPr>
          <w:rFonts w:hint="eastAsia"/>
          <w:szCs w:val="21"/>
        </w:rPr>
        <w:t>组件安装应按设计图纸进行，组件方阵与方阵位置、连接数量和路径应符合设计要求。</w:t>
      </w:r>
    </w:p>
    <w:p>
      <w:pPr>
        <w:pStyle w:val="41"/>
        <w:numPr>
          <w:ilvl w:val="0"/>
          <w:numId w:val="20"/>
        </w:numPr>
        <w:spacing w:line="300" w:lineRule="auto"/>
        <w:ind w:firstLineChars="0"/>
        <w:rPr>
          <w:szCs w:val="21"/>
        </w:rPr>
      </w:pPr>
      <w:r>
        <w:rPr>
          <w:rFonts w:hint="eastAsia"/>
          <w:szCs w:val="21"/>
        </w:rPr>
        <w:t>光伏组件的外观及接线盒、连接器不得出现破碎、开裂、弯曲现象。</w:t>
      </w:r>
    </w:p>
    <w:p>
      <w:pPr>
        <w:pStyle w:val="41"/>
        <w:numPr>
          <w:ilvl w:val="0"/>
          <w:numId w:val="20"/>
        </w:numPr>
        <w:spacing w:line="300" w:lineRule="auto"/>
        <w:ind w:firstLineChars="0"/>
        <w:rPr>
          <w:szCs w:val="21"/>
        </w:rPr>
      </w:pPr>
      <w:r>
        <w:rPr>
          <w:rFonts w:hint="eastAsia"/>
          <w:szCs w:val="21"/>
        </w:rPr>
        <w:t>桥架、管线与支撑架连接牢固无松动，支撑件排列均匀、连接牢固稳定。</w:t>
      </w:r>
    </w:p>
    <w:p>
      <w:pPr>
        <w:pStyle w:val="41"/>
        <w:numPr>
          <w:ilvl w:val="0"/>
          <w:numId w:val="20"/>
        </w:numPr>
        <w:spacing w:line="300" w:lineRule="auto"/>
        <w:ind w:firstLineChars="0"/>
        <w:rPr>
          <w:szCs w:val="21"/>
        </w:rPr>
      </w:pPr>
      <w:r>
        <w:rPr>
          <w:rFonts w:hint="eastAsia"/>
          <w:szCs w:val="21"/>
        </w:rPr>
        <w:t>壁挂式逆变器与安装支架的链接牢固可靠、不得出现明显歪斜，不得影响墙体自身结构和功能。</w:t>
      </w:r>
    </w:p>
    <w:p>
      <w:pPr>
        <w:pStyle w:val="41"/>
        <w:numPr>
          <w:ilvl w:val="0"/>
          <w:numId w:val="20"/>
        </w:numPr>
        <w:spacing w:line="300" w:lineRule="auto"/>
        <w:ind w:firstLineChars="0"/>
        <w:rPr>
          <w:szCs w:val="21"/>
        </w:rPr>
      </w:pPr>
      <w:r>
        <w:rPr>
          <w:rFonts w:hint="eastAsia"/>
          <w:szCs w:val="21"/>
        </w:rPr>
        <w:t>接地干线应在不同两点及以上与接地网连接或与原有建筑屋顶防雷接地网连接，连接应牢固可靠。</w:t>
      </w:r>
    </w:p>
    <w:p>
      <w:pPr>
        <w:pStyle w:val="41"/>
        <w:numPr>
          <w:ilvl w:val="0"/>
          <w:numId w:val="20"/>
        </w:numPr>
        <w:spacing w:line="300" w:lineRule="auto"/>
        <w:ind w:firstLineChars="0"/>
        <w:rPr>
          <w:szCs w:val="21"/>
        </w:rPr>
      </w:pPr>
      <w:r>
        <w:rPr>
          <w:rFonts w:hint="eastAsia"/>
          <w:szCs w:val="21"/>
        </w:rPr>
        <w:t>屋顶应设置安全便利的上下屋面检修通道，巡检通道设置屋面保护措施。</w:t>
      </w:r>
    </w:p>
    <w:p>
      <w:pPr>
        <w:pStyle w:val="41"/>
        <w:spacing w:line="300" w:lineRule="auto"/>
        <w:ind w:firstLine="420"/>
        <w:rPr>
          <w:szCs w:val="21"/>
        </w:rPr>
      </w:pPr>
      <w:r>
        <w:rPr>
          <w:rFonts w:hint="eastAsia"/>
          <w:szCs w:val="21"/>
        </w:rPr>
        <w:t>光伏与建筑一体化发电系统的安装符合GB/T 37655的相关规定。</w:t>
      </w:r>
    </w:p>
    <w:p>
      <w:pPr>
        <w:pStyle w:val="41"/>
        <w:spacing w:line="300" w:lineRule="auto"/>
        <w:ind w:firstLine="420"/>
        <w:rPr>
          <w:rFonts w:ascii="黑体" w:hAnsi="黑体" w:eastAsia="黑体"/>
          <w:szCs w:val="21"/>
        </w:rPr>
      </w:pPr>
      <w:r>
        <w:rPr>
          <w:rFonts w:hint="eastAsia" w:ascii="黑体" w:hAnsi="黑体" w:eastAsia="黑体"/>
          <w:szCs w:val="21"/>
        </w:rPr>
        <w:t>6.2.6</w:t>
      </w:r>
      <w:r>
        <w:rPr>
          <w:rFonts w:ascii="黑体" w:hAnsi="黑体" w:eastAsia="黑体"/>
          <w:szCs w:val="21"/>
        </w:rPr>
        <w:t xml:space="preserve"> </w:t>
      </w:r>
      <w:r>
        <w:rPr>
          <w:rFonts w:hint="eastAsia" w:ascii="黑体" w:hAnsi="黑体" w:eastAsia="黑体"/>
          <w:szCs w:val="21"/>
        </w:rPr>
        <w:t>风力发电系统</w:t>
      </w:r>
    </w:p>
    <w:p>
      <w:pPr>
        <w:pStyle w:val="41"/>
        <w:spacing w:line="300" w:lineRule="auto"/>
        <w:ind w:firstLine="420"/>
        <w:rPr>
          <w:szCs w:val="21"/>
        </w:rPr>
      </w:pPr>
      <w:r>
        <w:rPr>
          <w:rFonts w:hint="eastAsia"/>
          <w:szCs w:val="21"/>
        </w:rPr>
        <w:t>风力发电系统的安装应符合</w:t>
      </w:r>
      <w:r>
        <w:t>GB/T 51121</w:t>
      </w:r>
      <w:r>
        <w:rPr>
          <w:rFonts w:hint="eastAsia"/>
          <w:szCs w:val="21"/>
        </w:rPr>
        <w:t>的相关规定。</w:t>
      </w:r>
    </w:p>
    <w:p>
      <w:pPr>
        <w:pStyle w:val="41"/>
        <w:numPr>
          <w:ilvl w:val="0"/>
          <w:numId w:val="21"/>
        </w:numPr>
        <w:spacing w:line="300" w:lineRule="auto"/>
        <w:ind w:firstLineChars="0"/>
        <w:rPr>
          <w:szCs w:val="21"/>
        </w:rPr>
      </w:pPr>
      <w:r>
        <w:rPr>
          <w:rFonts w:hint="eastAsia"/>
          <w:szCs w:val="21"/>
        </w:rPr>
        <w:t>塔架中心线的垂直度应满足设计要求，塔架间爬梯、安全滑轨等附件连接应满足制造厂家要求。</w:t>
      </w:r>
    </w:p>
    <w:p>
      <w:pPr>
        <w:pStyle w:val="41"/>
        <w:numPr>
          <w:ilvl w:val="0"/>
          <w:numId w:val="21"/>
        </w:numPr>
        <w:spacing w:line="300" w:lineRule="auto"/>
        <w:ind w:firstLineChars="0"/>
        <w:rPr>
          <w:szCs w:val="21"/>
        </w:rPr>
      </w:pPr>
      <w:r>
        <w:rPr>
          <w:rFonts w:hint="eastAsia"/>
          <w:szCs w:val="21"/>
        </w:rPr>
        <w:t>测风装置、航空灯和避雷针等附件安装应正确，机舱钓具安装应符合制造厂家要求。</w:t>
      </w:r>
    </w:p>
    <w:p>
      <w:pPr>
        <w:pStyle w:val="41"/>
        <w:numPr>
          <w:ilvl w:val="0"/>
          <w:numId w:val="21"/>
        </w:numPr>
        <w:spacing w:line="300" w:lineRule="auto"/>
        <w:ind w:firstLineChars="0"/>
        <w:rPr>
          <w:szCs w:val="21"/>
        </w:rPr>
      </w:pPr>
      <w:r>
        <w:rPr>
          <w:rFonts w:hint="eastAsia"/>
          <w:szCs w:val="21"/>
        </w:rPr>
        <w:t>机舱和塔架连接螺栓、螺母、垫片安装应正确。</w:t>
      </w:r>
    </w:p>
    <w:p>
      <w:pPr>
        <w:pStyle w:val="41"/>
        <w:numPr>
          <w:ilvl w:val="0"/>
          <w:numId w:val="21"/>
        </w:numPr>
        <w:spacing w:line="300" w:lineRule="auto"/>
        <w:ind w:firstLineChars="0"/>
        <w:rPr>
          <w:szCs w:val="21"/>
        </w:rPr>
      </w:pPr>
      <w:r>
        <w:rPr>
          <w:rFonts w:hint="eastAsia"/>
          <w:szCs w:val="21"/>
        </w:rPr>
        <w:t>收缆筒、导向环、电缆安装应符合厂家要求，电缆应能正确收放。</w:t>
      </w:r>
    </w:p>
    <w:p>
      <w:pPr>
        <w:pStyle w:val="41"/>
        <w:spacing w:line="300" w:lineRule="auto"/>
        <w:ind w:firstLine="420"/>
        <w:rPr>
          <w:rFonts w:ascii="黑体" w:hAnsi="黑体" w:eastAsia="黑体"/>
          <w:szCs w:val="21"/>
        </w:rPr>
      </w:pPr>
      <w:r>
        <w:rPr>
          <w:rFonts w:hint="eastAsia" w:ascii="黑体" w:hAnsi="黑体" w:eastAsia="黑体"/>
          <w:szCs w:val="21"/>
        </w:rPr>
        <w:t>6.2.7</w:t>
      </w:r>
      <w:r>
        <w:rPr>
          <w:rFonts w:ascii="黑体" w:hAnsi="黑体" w:eastAsia="黑体"/>
          <w:szCs w:val="21"/>
        </w:rPr>
        <w:t xml:space="preserve"> </w:t>
      </w:r>
      <w:r>
        <w:rPr>
          <w:rFonts w:hint="eastAsia" w:ascii="黑体" w:hAnsi="黑体" w:eastAsia="黑体"/>
          <w:szCs w:val="21"/>
        </w:rPr>
        <w:t>电化学储能系统</w:t>
      </w:r>
    </w:p>
    <w:p>
      <w:pPr>
        <w:pStyle w:val="41"/>
        <w:spacing w:line="300" w:lineRule="auto"/>
        <w:ind w:firstLine="420"/>
        <w:rPr>
          <w:szCs w:val="21"/>
        </w:rPr>
      </w:pPr>
      <w:r>
        <w:rPr>
          <w:rFonts w:hint="eastAsia"/>
          <w:szCs w:val="21"/>
        </w:rPr>
        <w:t>电化学储能电池系统的安装应满足下列要求：</w:t>
      </w:r>
    </w:p>
    <w:p>
      <w:pPr>
        <w:pStyle w:val="41"/>
        <w:numPr>
          <w:ilvl w:val="0"/>
          <w:numId w:val="22"/>
        </w:numPr>
        <w:tabs>
          <w:tab w:val="center" w:pos="4201"/>
          <w:tab w:val="right" w:leader="dot" w:pos="9298"/>
        </w:tabs>
        <w:spacing w:line="300" w:lineRule="auto"/>
        <w:ind w:left="480" w:firstLine="420"/>
        <w:jc w:val="left"/>
        <w:rPr>
          <w:szCs w:val="21"/>
        </w:rPr>
      </w:pPr>
      <w:r>
        <w:rPr>
          <w:rFonts w:hint="eastAsia"/>
          <w:szCs w:val="21"/>
        </w:rPr>
        <w:t>电池、零部件及辅助设施外观应无变形及裂纹，表面干燥，无外伤、无污物。</w:t>
      </w:r>
    </w:p>
    <w:p>
      <w:pPr>
        <w:pStyle w:val="41"/>
        <w:numPr>
          <w:ilvl w:val="0"/>
          <w:numId w:val="22"/>
        </w:numPr>
        <w:tabs>
          <w:tab w:val="center" w:pos="4201"/>
          <w:tab w:val="right" w:leader="dot" w:pos="9298"/>
        </w:tabs>
        <w:spacing w:line="300" w:lineRule="auto"/>
        <w:ind w:left="480" w:firstLine="420"/>
        <w:jc w:val="left"/>
        <w:rPr>
          <w:szCs w:val="21"/>
        </w:rPr>
      </w:pPr>
      <w:r>
        <w:rPr>
          <w:rFonts w:hint="eastAsia"/>
          <w:szCs w:val="21"/>
        </w:rPr>
        <w:t>电池外形尺寸、质量应与技术规格数据一致，且规格、警示等标识清晰、正确。</w:t>
      </w:r>
    </w:p>
    <w:p>
      <w:pPr>
        <w:pStyle w:val="41"/>
        <w:numPr>
          <w:ilvl w:val="0"/>
          <w:numId w:val="22"/>
        </w:numPr>
        <w:tabs>
          <w:tab w:val="center" w:pos="4201"/>
          <w:tab w:val="right" w:leader="dot" w:pos="9298"/>
        </w:tabs>
        <w:spacing w:line="300" w:lineRule="auto"/>
        <w:ind w:left="480" w:firstLine="420"/>
        <w:jc w:val="left"/>
        <w:rPr>
          <w:szCs w:val="21"/>
        </w:rPr>
      </w:pPr>
      <w:r>
        <w:rPr>
          <w:rFonts w:hint="eastAsia"/>
          <w:szCs w:val="21"/>
        </w:rPr>
        <w:t>电池组布线应排列整齐，连接可靠，端子极性标识清晰、正确。</w:t>
      </w:r>
    </w:p>
    <w:p>
      <w:pPr>
        <w:pStyle w:val="41"/>
        <w:numPr>
          <w:ilvl w:val="0"/>
          <w:numId w:val="22"/>
        </w:numPr>
        <w:tabs>
          <w:tab w:val="center" w:pos="4201"/>
          <w:tab w:val="right" w:leader="dot" w:pos="9298"/>
        </w:tabs>
        <w:spacing w:line="300" w:lineRule="auto"/>
        <w:ind w:left="480" w:firstLine="420"/>
        <w:jc w:val="left"/>
        <w:rPr>
          <w:szCs w:val="21"/>
        </w:rPr>
      </w:pPr>
      <w:r>
        <w:rPr>
          <w:rFonts w:hint="eastAsia"/>
          <w:szCs w:val="21"/>
        </w:rPr>
        <w:t>电池组的回路应配置直流断路器、隔离开关等开断、保护设备。</w:t>
      </w:r>
    </w:p>
    <w:p>
      <w:pPr>
        <w:pStyle w:val="41"/>
        <w:numPr>
          <w:ilvl w:val="0"/>
          <w:numId w:val="22"/>
        </w:numPr>
        <w:tabs>
          <w:tab w:val="center" w:pos="4201"/>
          <w:tab w:val="right" w:leader="dot" w:pos="9298"/>
        </w:tabs>
        <w:spacing w:line="300" w:lineRule="auto"/>
        <w:ind w:left="480" w:firstLine="420"/>
        <w:jc w:val="left"/>
        <w:rPr>
          <w:szCs w:val="21"/>
        </w:rPr>
      </w:pPr>
      <w:r>
        <w:rPr>
          <w:szCs w:val="21"/>
        </w:rPr>
        <w:t>电池柜、电池架、BMS金属外壳以及其它的非载流导体均应可靠接地</w:t>
      </w:r>
      <w:r>
        <w:rPr>
          <w:rFonts w:hint="eastAsia"/>
          <w:szCs w:val="21"/>
        </w:rPr>
        <w:t>。</w:t>
      </w:r>
    </w:p>
    <w:p>
      <w:pPr>
        <w:pStyle w:val="41"/>
        <w:numPr>
          <w:ilvl w:val="0"/>
          <w:numId w:val="22"/>
        </w:numPr>
        <w:tabs>
          <w:tab w:val="center" w:pos="4201"/>
          <w:tab w:val="right" w:leader="dot" w:pos="9298"/>
        </w:tabs>
        <w:spacing w:line="300" w:lineRule="auto"/>
        <w:ind w:left="480" w:firstLine="420"/>
        <w:jc w:val="left"/>
        <w:rPr>
          <w:szCs w:val="21"/>
        </w:rPr>
      </w:pPr>
      <w:r>
        <w:rPr>
          <w:szCs w:val="21"/>
        </w:rPr>
        <w:t>电池室照明灯具应为防爆类型且装设位置应便于维护；所用导线或电缆应具有防腐性能或采取防腐措施。</w:t>
      </w:r>
    </w:p>
    <w:p>
      <w:pPr>
        <w:pStyle w:val="41"/>
        <w:spacing w:line="300" w:lineRule="auto"/>
        <w:ind w:firstLine="420"/>
        <w:rPr>
          <w:szCs w:val="21"/>
        </w:rPr>
      </w:pPr>
      <w:r>
        <w:rPr>
          <w:rFonts w:hint="eastAsia"/>
          <w:szCs w:val="21"/>
        </w:rPr>
        <w:t>储能变流器的的安装应满足下列要求：</w:t>
      </w:r>
    </w:p>
    <w:p>
      <w:pPr>
        <w:pStyle w:val="41"/>
        <w:numPr>
          <w:ilvl w:val="0"/>
          <w:numId w:val="23"/>
        </w:numPr>
        <w:tabs>
          <w:tab w:val="center" w:pos="4201"/>
          <w:tab w:val="right" w:leader="dot" w:pos="9298"/>
        </w:tabs>
        <w:spacing w:line="300" w:lineRule="auto"/>
        <w:ind w:left="480" w:firstLine="420"/>
        <w:jc w:val="left"/>
        <w:rPr>
          <w:szCs w:val="21"/>
        </w:rPr>
      </w:pPr>
      <w:r>
        <w:rPr>
          <w:rFonts w:hint="eastAsia"/>
          <w:szCs w:val="21"/>
        </w:rPr>
        <w:t>储能变流器及机架组装有关零部件型号及规格均应符合相关技术与设计文件；</w:t>
      </w:r>
      <w:r>
        <w:rPr>
          <w:szCs w:val="21"/>
        </w:rPr>
        <w:t xml:space="preserve"> </w:t>
      </w:r>
    </w:p>
    <w:p>
      <w:pPr>
        <w:pStyle w:val="41"/>
        <w:numPr>
          <w:ilvl w:val="0"/>
          <w:numId w:val="23"/>
        </w:numPr>
        <w:tabs>
          <w:tab w:val="center" w:pos="4201"/>
          <w:tab w:val="right" w:leader="dot" w:pos="9298"/>
        </w:tabs>
        <w:spacing w:line="300" w:lineRule="auto"/>
        <w:ind w:left="480" w:firstLine="420"/>
        <w:jc w:val="left"/>
        <w:rPr>
          <w:szCs w:val="21"/>
        </w:rPr>
      </w:pPr>
      <w:r>
        <w:rPr>
          <w:rFonts w:hint="eastAsia"/>
          <w:szCs w:val="21"/>
        </w:rPr>
        <w:t>储能变流器面板应平整、清洁，文字和符号要求清楚、规范，标牌、警告标识、标志应完整清晰；</w:t>
      </w:r>
      <w:r>
        <w:rPr>
          <w:szCs w:val="21"/>
        </w:rPr>
        <w:t xml:space="preserve"> </w:t>
      </w:r>
    </w:p>
    <w:p>
      <w:pPr>
        <w:pStyle w:val="41"/>
        <w:numPr>
          <w:ilvl w:val="0"/>
          <w:numId w:val="23"/>
        </w:numPr>
        <w:tabs>
          <w:tab w:val="center" w:pos="4201"/>
          <w:tab w:val="right" w:leader="dot" w:pos="9298"/>
        </w:tabs>
        <w:spacing w:line="300" w:lineRule="auto"/>
        <w:ind w:left="480" w:firstLine="420"/>
        <w:jc w:val="left"/>
        <w:rPr>
          <w:szCs w:val="21"/>
        </w:rPr>
      </w:pPr>
      <w:r>
        <w:rPr>
          <w:rFonts w:hint="eastAsia"/>
          <w:szCs w:val="21"/>
        </w:rPr>
        <w:t>储能变流器结构和电气连接应保持完整、牢固，不存在积灰、锈蚀、剥落、裂痕等现象，散热环境良好；</w:t>
      </w:r>
      <w:r>
        <w:rPr>
          <w:szCs w:val="21"/>
        </w:rPr>
        <w:t xml:space="preserve"> </w:t>
      </w:r>
    </w:p>
    <w:p>
      <w:pPr>
        <w:pStyle w:val="41"/>
        <w:numPr>
          <w:ilvl w:val="0"/>
          <w:numId w:val="23"/>
        </w:numPr>
        <w:tabs>
          <w:tab w:val="center" w:pos="4201"/>
          <w:tab w:val="right" w:leader="dot" w:pos="9298"/>
        </w:tabs>
        <w:spacing w:line="300" w:lineRule="auto"/>
        <w:ind w:left="480" w:firstLine="420"/>
        <w:jc w:val="left"/>
        <w:rPr>
          <w:szCs w:val="21"/>
        </w:rPr>
      </w:pPr>
      <w:r>
        <w:rPr>
          <w:rFonts w:hint="eastAsia"/>
          <w:szCs w:val="21"/>
        </w:rPr>
        <w:t>机箱外壳和内部的非载流导体均应可靠接地。</w:t>
      </w:r>
      <w:r>
        <w:rPr>
          <w:szCs w:val="21"/>
        </w:rPr>
        <w:t xml:space="preserve"> </w:t>
      </w:r>
    </w:p>
    <w:p>
      <w:pPr>
        <w:pStyle w:val="2"/>
        <w:rPr>
          <w:rFonts w:ascii="黑体" w:hAnsi="黑体" w:eastAsia="黑体"/>
          <w:sz w:val="21"/>
        </w:rPr>
      </w:pPr>
      <w:bookmarkStart w:id="42" w:name="_Toc27746891"/>
      <w:r>
        <w:rPr>
          <w:rFonts w:hint="eastAsia" w:ascii="黑体" w:hAnsi="黑体" w:eastAsia="黑体"/>
          <w:sz w:val="21"/>
        </w:rPr>
        <w:t>7</w:t>
      </w:r>
      <w:r>
        <w:rPr>
          <w:rFonts w:ascii="黑体" w:hAnsi="黑体" w:eastAsia="黑体"/>
          <w:sz w:val="21"/>
        </w:rPr>
        <w:t xml:space="preserve">  </w:t>
      </w:r>
      <w:r>
        <w:rPr>
          <w:rFonts w:hint="eastAsia" w:ascii="黑体" w:hAnsi="黑体" w:eastAsia="黑体"/>
          <w:sz w:val="21"/>
        </w:rPr>
        <w:t>多能互补子系统功能检查与测试</w:t>
      </w:r>
      <w:bookmarkEnd w:id="42"/>
    </w:p>
    <w:p>
      <w:pPr>
        <w:pStyle w:val="2"/>
        <w:spacing w:before="0" w:line="360" w:lineRule="auto"/>
        <w:ind w:firstLine="454" w:firstLineChars="200"/>
        <w:rPr>
          <w:rFonts w:ascii="黑体" w:hAnsi="黑体" w:eastAsia="黑体" w:cs="黑体"/>
          <w:bCs w:val="0"/>
          <w:sz w:val="21"/>
          <w:szCs w:val="21"/>
        </w:rPr>
      </w:pPr>
      <w:bookmarkStart w:id="43" w:name="_Toc27746892"/>
      <w:r>
        <w:rPr>
          <w:rFonts w:hint="eastAsia" w:ascii="黑体" w:hAnsi="黑体" w:eastAsia="黑体" w:cs="黑体"/>
          <w:bCs w:val="0"/>
          <w:sz w:val="21"/>
          <w:szCs w:val="21"/>
        </w:rPr>
        <w:t>7.1太阳能热水系统功能检查与</w:t>
      </w:r>
      <w:r>
        <w:rPr>
          <w:rFonts w:ascii="黑体" w:hAnsi="黑体" w:eastAsia="黑体" w:cs="黑体"/>
          <w:bCs w:val="0"/>
          <w:sz w:val="21"/>
          <w:szCs w:val="21"/>
        </w:rPr>
        <w:t>测试</w:t>
      </w:r>
      <w:bookmarkEnd w:id="43"/>
    </w:p>
    <w:p>
      <w:pPr>
        <w:pStyle w:val="79"/>
        <w:numPr>
          <w:ilvl w:val="3"/>
          <w:numId w:val="0"/>
        </w:numPr>
        <w:spacing w:line="276" w:lineRule="auto"/>
        <w:ind w:right="210" w:firstLine="420" w:firstLineChars="200"/>
      </w:pPr>
      <w:r>
        <w:rPr>
          <w:rFonts w:hint="eastAsia" w:ascii="黑体" w:hAnsi="黑体" w:eastAsia="黑体"/>
        </w:rPr>
        <w:t>7.1.1 功能检查</w:t>
      </w:r>
    </w:p>
    <w:p>
      <w:pPr>
        <w:pStyle w:val="55"/>
        <w:numPr>
          <w:ilvl w:val="4"/>
          <w:numId w:val="0"/>
        </w:numPr>
        <w:spacing w:line="300" w:lineRule="auto"/>
        <w:ind w:left="210" w:right="210" w:firstLine="420" w:firstLineChars="200"/>
      </w:pPr>
      <w:r>
        <w:rPr>
          <w:rFonts w:hint="eastAsia"/>
        </w:rPr>
        <w:t>1）设计工况下</w:t>
      </w:r>
      <w:r>
        <w:t>，</w:t>
      </w:r>
      <w:r>
        <w:rPr>
          <w:rFonts w:hint="eastAsia"/>
        </w:rPr>
        <w:t>系统各分支回路的流量、温度应符合设计要求。</w:t>
      </w:r>
    </w:p>
    <w:p>
      <w:pPr>
        <w:pStyle w:val="55"/>
        <w:numPr>
          <w:ilvl w:val="4"/>
          <w:numId w:val="0"/>
        </w:numPr>
        <w:spacing w:line="300" w:lineRule="auto"/>
        <w:ind w:left="210" w:right="210" w:firstLine="420" w:firstLineChars="200"/>
      </w:pPr>
      <w:r>
        <w:rPr>
          <w:rFonts w:hint="eastAsia"/>
        </w:rPr>
        <w:t>2）温度、温差、水位、时间等控制仪的控制区域或控制点应符合设计要求。</w:t>
      </w:r>
    </w:p>
    <w:p>
      <w:pPr>
        <w:pStyle w:val="55"/>
        <w:numPr>
          <w:ilvl w:val="4"/>
          <w:numId w:val="0"/>
        </w:numPr>
        <w:spacing w:line="300" w:lineRule="auto"/>
        <w:ind w:left="210" w:right="210" w:firstLine="420" w:firstLineChars="200"/>
      </w:pPr>
      <w:r>
        <w:rPr>
          <w:rFonts w:hint="eastAsia"/>
        </w:rPr>
        <w:t>3）辅助电源加热设备与太阳能集热系统的工作切换应符合设计要求。</w:t>
      </w:r>
    </w:p>
    <w:p>
      <w:pPr>
        <w:pStyle w:val="79"/>
        <w:numPr>
          <w:ilvl w:val="3"/>
          <w:numId w:val="0"/>
        </w:numPr>
        <w:spacing w:line="276" w:lineRule="auto"/>
        <w:ind w:right="210" w:firstLine="420" w:firstLineChars="200"/>
      </w:pPr>
      <w:r>
        <w:rPr>
          <w:rFonts w:hint="eastAsia"/>
        </w:rPr>
        <w:t xml:space="preserve">7.1.2 </w:t>
      </w:r>
      <w:r>
        <w:rPr>
          <w:rFonts w:hint="eastAsia" w:ascii="黑体" w:hAnsi="黑体" w:eastAsia="黑体"/>
        </w:rPr>
        <w:t>性能测试</w:t>
      </w:r>
    </w:p>
    <w:p>
      <w:pPr>
        <w:pStyle w:val="55"/>
        <w:numPr>
          <w:ilvl w:val="4"/>
          <w:numId w:val="0"/>
        </w:numPr>
        <w:spacing w:line="300" w:lineRule="auto"/>
        <w:ind w:left="210" w:right="210" w:firstLine="420" w:firstLineChars="200"/>
        <w:rPr>
          <w:kern w:val="0"/>
          <w:szCs w:val="20"/>
        </w:rPr>
      </w:pPr>
      <w:r>
        <w:rPr>
          <w:rFonts w:hint="eastAsia"/>
          <w:kern w:val="0"/>
          <w:szCs w:val="20"/>
        </w:rPr>
        <w:t>1）系统热工性能测试包括太阳能</w:t>
      </w:r>
      <w:r>
        <w:rPr>
          <w:kern w:val="0"/>
          <w:szCs w:val="20"/>
        </w:rPr>
        <w:t>系统的日有用</w:t>
      </w:r>
      <w:r>
        <w:rPr>
          <w:rFonts w:hint="eastAsia"/>
          <w:kern w:val="0"/>
          <w:szCs w:val="20"/>
        </w:rPr>
        <w:t>得</w:t>
      </w:r>
      <w:r>
        <w:rPr>
          <w:kern w:val="0"/>
          <w:szCs w:val="20"/>
        </w:rPr>
        <w:t>热量和升温性能</w:t>
      </w:r>
      <w:r>
        <w:rPr>
          <w:rFonts w:hint="eastAsia"/>
          <w:kern w:val="0"/>
          <w:szCs w:val="20"/>
        </w:rPr>
        <w:t>测试，</w:t>
      </w:r>
      <w:r>
        <w:rPr>
          <w:kern w:val="0"/>
          <w:szCs w:val="20"/>
        </w:rPr>
        <w:t>应符合</w:t>
      </w:r>
      <w:r>
        <w:rPr>
          <w:rFonts w:hint="eastAsia"/>
          <w:kern w:val="0"/>
          <w:szCs w:val="20"/>
        </w:rPr>
        <w:t>标准GB/T 50801</w:t>
      </w:r>
      <w:r>
        <w:rPr>
          <w:kern w:val="0"/>
          <w:szCs w:val="20"/>
        </w:rPr>
        <w:t>的</w:t>
      </w:r>
      <w:r>
        <w:rPr>
          <w:rFonts w:hint="eastAsia"/>
          <w:kern w:val="0"/>
          <w:szCs w:val="20"/>
        </w:rPr>
        <w:t>相关</w:t>
      </w:r>
      <w:r>
        <w:rPr>
          <w:kern w:val="0"/>
          <w:szCs w:val="20"/>
        </w:rPr>
        <w:t>规定</w:t>
      </w:r>
      <w:r>
        <w:rPr>
          <w:rFonts w:hint="eastAsia"/>
          <w:kern w:val="0"/>
          <w:szCs w:val="20"/>
        </w:rPr>
        <w:t>。</w:t>
      </w:r>
    </w:p>
    <w:p>
      <w:pPr>
        <w:pStyle w:val="55"/>
        <w:numPr>
          <w:ilvl w:val="4"/>
          <w:numId w:val="0"/>
        </w:numPr>
        <w:spacing w:line="300" w:lineRule="auto"/>
        <w:ind w:left="210" w:right="210" w:firstLine="420" w:firstLineChars="200"/>
        <w:rPr>
          <w:kern w:val="0"/>
          <w:szCs w:val="20"/>
        </w:rPr>
      </w:pPr>
      <w:r>
        <w:rPr>
          <w:rFonts w:hint="eastAsia"/>
          <w:kern w:val="0"/>
          <w:szCs w:val="20"/>
        </w:rPr>
        <w:t>2）太阳能集热系统效率和太阳能热水系统的太阳能保证率应符合标准GB 50364的相关规定。</w:t>
      </w:r>
    </w:p>
    <w:p>
      <w:pPr>
        <w:pStyle w:val="55"/>
        <w:numPr>
          <w:ilvl w:val="4"/>
          <w:numId w:val="0"/>
        </w:numPr>
        <w:spacing w:line="300" w:lineRule="auto"/>
        <w:ind w:left="210" w:right="210" w:firstLine="420" w:firstLineChars="200"/>
        <w:rPr>
          <w:kern w:val="0"/>
          <w:szCs w:val="20"/>
        </w:rPr>
      </w:pPr>
      <w:r>
        <w:rPr>
          <w:rFonts w:hint="eastAsia"/>
          <w:kern w:val="0"/>
          <w:szCs w:val="20"/>
        </w:rPr>
        <w:t>3）太阳能热水系统的供热水温度应符合标准GB 50364的相关规定。</w:t>
      </w:r>
    </w:p>
    <w:p>
      <w:pPr>
        <w:pStyle w:val="55"/>
        <w:numPr>
          <w:ilvl w:val="4"/>
          <w:numId w:val="0"/>
        </w:numPr>
        <w:spacing w:line="300" w:lineRule="auto"/>
        <w:ind w:left="210" w:right="210" w:firstLine="420" w:firstLineChars="200"/>
      </w:pPr>
      <w:r>
        <w:rPr>
          <w:rFonts w:hint="eastAsia"/>
          <w:kern w:val="0"/>
          <w:szCs w:val="20"/>
        </w:rPr>
        <w:t>4）储热水箱的热损因数应符合标准GB/T 50801的相关规定。</w:t>
      </w:r>
    </w:p>
    <w:p>
      <w:pPr>
        <w:pStyle w:val="2"/>
        <w:spacing w:before="0" w:line="360" w:lineRule="auto"/>
        <w:ind w:firstLine="454" w:firstLineChars="200"/>
        <w:rPr>
          <w:rFonts w:ascii="黑体" w:hAnsi="黑体" w:eastAsia="黑体" w:cs="黑体"/>
          <w:bCs w:val="0"/>
          <w:sz w:val="21"/>
          <w:szCs w:val="21"/>
        </w:rPr>
      </w:pPr>
      <w:bookmarkStart w:id="44" w:name="_Toc27746893"/>
      <w:r>
        <w:rPr>
          <w:rFonts w:hint="eastAsia" w:ascii="黑体" w:hAnsi="黑体" w:eastAsia="黑体" w:cs="黑体"/>
          <w:bCs w:val="0"/>
          <w:sz w:val="21"/>
          <w:szCs w:val="21"/>
        </w:rPr>
        <w:t>7.2</w:t>
      </w:r>
      <w:r>
        <w:rPr>
          <w:rFonts w:ascii="黑体" w:hAnsi="黑体" w:eastAsia="黑体" w:cs="黑体"/>
          <w:bCs w:val="0"/>
          <w:sz w:val="21"/>
          <w:szCs w:val="21"/>
        </w:rPr>
        <w:t xml:space="preserve"> </w:t>
      </w:r>
      <w:r>
        <w:rPr>
          <w:rFonts w:hint="eastAsia" w:ascii="黑体" w:hAnsi="黑体" w:eastAsia="黑体" w:cs="黑体"/>
          <w:bCs w:val="0"/>
          <w:sz w:val="21"/>
          <w:szCs w:val="21"/>
        </w:rPr>
        <w:t>空气源</w:t>
      </w:r>
      <w:r>
        <w:rPr>
          <w:rFonts w:ascii="黑体" w:hAnsi="黑体" w:eastAsia="黑体" w:cs="黑体"/>
          <w:bCs w:val="0"/>
          <w:sz w:val="21"/>
          <w:szCs w:val="21"/>
        </w:rPr>
        <w:t>热泵</w:t>
      </w:r>
      <w:r>
        <w:rPr>
          <w:rFonts w:hint="eastAsia" w:ascii="黑体" w:hAnsi="黑体" w:eastAsia="黑体" w:cs="黑体"/>
          <w:bCs w:val="0"/>
          <w:sz w:val="21"/>
          <w:szCs w:val="21"/>
        </w:rPr>
        <w:t>系统功能检查与</w:t>
      </w:r>
      <w:r>
        <w:rPr>
          <w:rFonts w:ascii="黑体" w:hAnsi="黑体" w:eastAsia="黑体" w:cs="黑体"/>
          <w:bCs w:val="0"/>
          <w:sz w:val="21"/>
          <w:szCs w:val="21"/>
        </w:rPr>
        <w:t>测试</w:t>
      </w:r>
      <w:bookmarkEnd w:id="44"/>
    </w:p>
    <w:p>
      <w:pPr>
        <w:pStyle w:val="41"/>
        <w:spacing w:line="300" w:lineRule="auto"/>
        <w:ind w:firstLine="420"/>
        <w:rPr>
          <w:rFonts w:ascii="黑体" w:hAnsi="黑体" w:eastAsia="黑体"/>
          <w:szCs w:val="21"/>
        </w:rPr>
      </w:pPr>
      <w:r>
        <w:rPr>
          <w:rFonts w:hint="eastAsia" w:ascii="黑体" w:hAnsi="黑体" w:eastAsia="黑体"/>
          <w:szCs w:val="21"/>
        </w:rPr>
        <w:t>7.2.1 功能检查</w:t>
      </w:r>
    </w:p>
    <w:p>
      <w:pPr>
        <w:pStyle w:val="55"/>
        <w:numPr>
          <w:ilvl w:val="4"/>
          <w:numId w:val="0"/>
        </w:numPr>
        <w:spacing w:line="300" w:lineRule="auto"/>
        <w:ind w:left="210" w:right="210" w:firstLine="420" w:firstLineChars="200"/>
      </w:pPr>
      <w:r>
        <w:rPr>
          <w:rFonts w:hint="eastAsia"/>
        </w:rPr>
        <w:t>1）设计工况下，系统循环总流量、各分支流量及各末端设备流量应符合设计要求。</w:t>
      </w:r>
    </w:p>
    <w:p>
      <w:pPr>
        <w:pStyle w:val="55"/>
        <w:numPr>
          <w:ilvl w:val="4"/>
          <w:numId w:val="0"/>
        </w:numPr>
        <w:spacing w:line="300" w:lineRule="auto"/>
        <w:ind w:left="210" w:right="210" w:firstLine="420" w:firstLineChars="200"/>
      </w:pPr>
      <w:r>
        <w:rPr>
          <w:rFonts w:hint="eastAsia"/>
        </w:rPr>
        <w:t>2）热泵机组的电气控制应包括对压缩机、风机等的控制，应具有电机过载保护、缺相保护(三相电源)，水系统断流保护、防冻保护，系统高、低压保护功能。</w:t>
      </w:r>
    </w:p>
    <w:p>
      <w:pPr>
        <w:pStyle w:val="41"/>
        <w:spacing w:line="300" w:lineRule="auto"/>
        <w:ind w:firstLine="420"/>
        <w:rPr>
          <w:rFonts w:ascii="黑体" w:hAnsi="黑体" w:eastAsia="黑体"/>
          <w:szCs w:val="21"/>
        </w:rPr>
      </w:pPr>
      <w:r>
        <w:rPr>
          <w:rFonts w:hint="eastAsia" w:ascii="黑体" w:hAnsi="黑体" w:eastAsia="黑体"/>
          <w:szCs w:val="21"/>
        </w:rPr>
        <w:t>7.2.2 性能测试</w:t>
      </w:r>
    </w:p>
    <w:p>
      <w:pPr>
        <w:pStyle w:val="55"/>
        <w:numPr>
          <w:ilvl w:val="4"/>
          <w:numId w:val="0"/>
        </w:numPr>
        <w:spacing w:line="300" w:lineRule="auto"/>
        <w:ind w:left="210" w:right="210" w:firstLine="420" w:firstLineChars="200"/>
      </w:pPr>
      <w:r>
        <w:rPr>
          <w:rFonts w:hint="eastAsia"/>
        </w:rPr>
        <w:t>1）系统制热性能系数应符合标准GB/T 25127.1的相关规定。</w:t>
      </w:r>
    </w:p>
    <w:p>
      <w:pPr>
        <w:pStyle w:val="55"/>
        <w:numPr>
          <w:ilvl w:val="4"/>
          <w:numId w:val="0"/>
        </w:numPr>
        <w:spacing w:line="300" w:lineRule="auto"/>
        <w:ind w:left="210" w:right="210" w:firstLine="420" w:firstLineChars="200"/>
      </w:pPr>
      <w:r>
        <w:rPr>
          <w:rFonts w:hint="eastAsia"/>
        </w:rPr>
        <w:t>2）系统制冷能效比应符合标准GB/T 25127.1的相关规定。</w:t>
      </w:r>
    </w:p>
    <w:p>
      <w:pPr>
        <w:pStyle w:val="2"/>
        <w:spacing w:before="0" w:line="360" w:lineRule="auto"/>
        <w:ind w:firstLine="454" w:firstLineChars="200"/>
        <w:rPr>
          <w:rFonts w:ascii="黑体" w:hAnsi="黑体" w:eastAsia="黑体" w:cs="黑体"/>
          <w:bCs w:val="0"/>
          <w:sz w:val="21"/>
          <w:szCs w:val="21"/>
        </w:rPr>
      </w:pPr>
      <w:bookmarkStart w:id="45" w:name="_Toc27746894"/>
      <w:r>
        <w:rPr>
          <w:rFonts w:hint="eastAsia" w:ascii="黑体" w:hAnsi="黑体" w:eastAsia="黑体" w:cs="黑体"/>
          <w:bCs w:val="0"/>
          <w:sz w:val="21"/>
          <w:szCs w:val="21"/>
        </w:rPr>
        <w:t>7.3 地源热泵系统功能检查与测试</w:t>
      </w:r>
      <w:bookmarkEnd w:id="45"/>
    </w:p>
    <w:p>
      <w:pPr>
        <w:pStyle w:val="41"/>
        <w:spacing w:line="300" w:lineRule="auto"/>
        <w:ind w:firstLine="420"/>
        <w:rPr>
          <w:rFonts w:ascii="黑体" w:hAnsi="黑体" w:eastAsia="黑体"/>
          <w:szCs w:val="21"/>
        </w:rPr>
      </w:pPr>
      <w:r>
        <w:rPr>
          <w:rFonts w:hint="eastAsia" w:ascii="黑体" w:hAnsi="黑体" w:eastAsia="黑体"/>
          <w:szCs w:val="21"/>
        </w:rPr>
        <w:t>7.3.1 功能检查</w:t>
      </w:r>
    </w:p>
    <w:p>
      <w:pPr>
        <w:pStyle w:val="55"/>
        <w:numPr>
          <w:ilvl w:val="4"/>
          <w:numId w:val="0"/>
        </w:numPr>
        <w:spacing w:line="300" w:lineRule="auto"/>
        <w:ind w:left="210" w:right="210" w:firstLine="420" w:firstLineChars="200"/>
      </w:pPr>
      <w:r>
        <w:rPr>
          <w:rFonts w:hint="eastAsia"/>
        </w:rPr>
        <w:t>1）设计工况下，系统循环总流量、各分支流量及各末端设备流量应符合设计要求。</w:t>
      </w:r>
    </w:p>
    <w:p>
      <w:pPr>
        <w:pStyle w:val="55"/>
        <w:numPr>
          <w:ilvl w:val="4"/>
          <w:numId w:val="0"/>
        </w:numPr>
        <w:spacing w:line="300" w:lineRule="auto"/>
        <w:ind w:left="210" w:right="210" w:firstLine="420" w:firstLineChars="200"/>
      </w:pPr>
      <w:r>
        <w:rPr>
          <w:rFonts w:hint="eastAsia"/>
        </w:rPr>
        <w:t>2）设计工况下，热泵机组进出口处的水温应符合设计要求。</w:t>
      </w:r>
    </w:p>
    <w:p>
      <w:pPr>
        <w:pStyle w:val="41"/>
        <w:spacing w:line="300" w:lineRule="auto"/>
        <w:ind w:firstLine="420"/>
        <w:rPr>
          <w:rFonts w:ascii="黑体" w:hAnsi="黑体" w:eastAsia="黑体"/>
          <w:szCs w:val="21"/>
        </w:rPr>
      </w:pPr>
      <w:r>
        <w:rPr>
          <w:rFonts w:hint="eastAsia" w:ascii="黑体" w:hAnsi="黑体" w:eastAsia="黑体"/>
          <w:szCs w:val="21"/>
        </w:rPr>
        <w:t>7.3.2 性能测试</w:t>
      </w:r>
    </w:p>
    <w:p>
      <w:pPr>
        <w:pStyle w:val="55"/>
        <w:numPr>
          <w:ilvl w:val="4"/>
          <w:numId w:val="0"/>
        </w:numPr>
        <w:spacing w:line="300" w:lineRule="auto"/>
        <w:ind w:left="210" w:right="210" w:firstLine="420" w:firstLineChars="200"/>
      </w:pPr>
      <w:r>
        <w:rPr>
          <w:rFonts w:hint="eastAsia"/>
        </w:rPr>
        <w:t>1）系统制热性能系数应符合标准GB/T 50801的相关规定。</w:t>
      </w:r>
    </w:p>
    <w:p>
      <w:pPr>
        <w:pStyle w:val="55"/>
        <w:numPr>
          <w:ilvl w:val="4"/>
          <w:numId w:val="0"/>
        </w:numPr>
        <w:spacing w:line="300" w:lineRule="auto"/>
        <w:ind w:left="210" w:right="210" w:firstLine="420" w:firstLineChars="200"/>
      </w:pPr>
      <w:r>
        <w:rPr>
          <w:rFonts w:hint="eastAsia"/>
        </w:rPr>
        <w:t>2）系统制冷能效比应符合标准GB/T 50801的相关规定。</w:t>
      </w:r>
    </w:p>
    <w:p>
      <w:pPr>
        <w:pStyle w:val="2"/>
        <w:spacing w:before="0" w:line="300" w:lineRule="auto"/>
        <w:ind w:firstLine="454" w:firstLineChars="200"/>
        <w:rPr>
          <w:rFonts w:ascii="黑体" w:hAnsi="黑体" w:eastAsia="黑体" w:cs="黑体"/>
          <w:bCs w:val="0"/>
          <w:sz w:val="21"/>
          <w:szCs w:val="21"/>
        </w:rPr>
      </w:pPr>
      <w:bookmarkStart w:id="46" w:name="_Toc27746895"/>
      <w:r>
        <w:rPr>
          <w:rFonts w:hint="eastAsia" w:ascii="黑体" w:hAnsi="黑体" w:eastAsia="黑体" w:cs="黑体"/>
          <w:bCs w:val="0"/>
          <w:sz w:val="21"/>
          <w:szCs w:val="21"/>
        </w:rPr>
        <w:t>7.4</w:t>
      </w:r>
      <w:r>
        <w:rPr>
          <w:rFonts w:ascii="黑体" w:hAnsi="黑体" w:eastAsia="黑体" w:cs="黑体"/>
          <w:bCs w:val="0"/>
          <w:sz w:val="21"/>
          <w:szCs w:val="21"/>
        </w:rPr>
        <w:t xml:space="preserve"> </w:t>
      </w:r>
      <w:r>
        <w:rPr>
          <w:rFonts w:hint="eastAsia" w:ascii="黑体" w:hAnsi="黑体" w:eastAsia="黑体" w:cs="黑体"/>
          <w:bCs w:val="0"/>
          <w:sz w:val="21"/>
          <w:szCs w:val="21"/>
        </w:rPr>
        <w:t>光伏发电系统功能检查与测试</w:t>
      </w:r>
      <w:bookmarkEnd w:id="46"/>
    </w:p>
    <w:p>
      <w:pPr>
        <w:pStyle w:val="79"/>
        <w:numPr>
          <w:ilvl w:val="3"/>
          <w:numId w:val="0"/>
        </w:numPr>
        <w:spacing w:line="300" w:lineRule="auto"/>
        <w:ind w:right="210" w:firstLine="420" w:firstLineChars="200"/>
      </w:pPr>
      <w:r>
        <w:rPr>
          <w:rFonts w:hint="eastAsia"/>
        </w:rPr>
        <w:t>光伏发电系统的功能检查与测试主要包括极性测试、开关设备和控制设备测试、电气安装一致性、系统电气效率以及电能质量测试等，测试方法及要求应满足CNAS/CTS 0016的相关规定。</w:t>
      </w:r>
    </w:p>
    <w:p>
      <w:pPr>
        <w:pStyle w:val="79"/>
        <w:numPr>
          <w:ilvl w:val="3"/>
          <w:numId w:val="0"/>
        </w:numPr>
        <w:spacing w:line="300" w:lineRule="auto"/>
        <w:ind w:right="210" w:firstLine="420" w:firstLineChars="200"/>
      </w:pPr>
      <w:r>
        <w:rPr>
          <w:rFonts w:hint="eastAsia"/>
        </w:rPr>
        <w:t>屋顶光伏发电系统的功能检查及测试应满足GB/T 50796的相关规定。</w:t>
      </w:r>
    </w:p>
    <w:p>
      <w:pPr>
        <w:pStyle w:val="79"/>
        <w:numPr>
          <w:ilvl w:val="3"/>
          <w:numId w:val="0"/>
        </w:numPr>
        <w:spacing w:line="300" w:lineRule="auto"/>
        <w:ind w:right="210" w:firstLine="420" w:firstLineChars="200"/>
      </w:pPr>
      <w:r>
        <w:rPr>
          <w:rFonts w:hint="eastAsia"/>
        </w:rPr>
        <w:t>民用建筑与太阳能光伏一体化系统工程、以及在既有工业与民用建筑上安装和改造的光伏系统工程还应满足GB/T 37655的相关要求。</w:t>
      </w:r>
    </w:p>
    <w:p>
      <w:pPr>
        <w:pStyle w:val="2"/>
        <w:spacing w:before="0" w:line="300" w:lineRule="auto"/>
        <w:ind w:firstLine="454" w:firstLineChars="200"/>
        <w:rPr>
          <w:rFonts w:ascii="黑体" w:hAnsi="黑体" w:eastAsia="黑体" w:cs="黑体"/>
          <w:bCs w:val="0"/>
          <w:sz w:val="21"/>
          <w:szCs w:val="21"/>
        </w:rPr>
      </w:pPr>
      <w:bookmarkStart w:id="47" w:name="_Toc27746896"/>
      <w:r>
        <w:rPr>
          <w:rFonts w:hint="eastAsia" w:ascii="黑体" w:hAnsi="黑体" w:eastAsia="黑体" w:cs="黑体"/>
          <w:bCs w:val="0"/>
          <w:sz w:val="21"/>
          <w:szCs w:val="21"/>
        </w:rPr>
        <w:t>7.5 风力</w:t>
      </w:r>
      <w:r>
        <w:rPr>
          <w:rFonts w:ascii="黑体" w:hAnsi="黑体" w:eastAsia="黑体" w:cs="黑体"/>
          <w:bCs w:val="0"/>
          <w:sz w:val="21"/>
          <w:szCs w:val="21"/>
        </w:rPr>
        <w:t>发电</w:t>
      </w:r>
      <w:r>
        <w:rPr>
          <w:rFonts w:hint="eastAsia" w:ascii="黑体" w:hAnsi="黑体" w:eastAsia="黑体" w:cs="黑体"/>
          <w:bCs w:val="0"/>
          <w:sz w:val="21"/>
          <w:szCs w:val="21"/>
        </w:rPr>
        <w:t>系统功能检查与测试</w:t>
      </w:r>
      <w:bookmarkEnd w:id="47"/>
    </w:p>
    <w:p>
      <w:pPr>
        <w:pStyle w:val="79"/>
        <w:numPr>
          <w:ilvl w:val="3"/>
          <w:numId w:val="0"/>
        </w:numPr>
        <w:spacing w:line="300" w:lineRule="auto"/>
        <w:ind w:right="210" w:firstLine="420" w:firstLineChars="200"/>
        <w:rPr>
          <w:rFonts w:ascii="黑体" w:hAnsi="黑体" w:eastAsia="黑体"/>
        </w:rPr>
      </w:pPr>
      <w:r>
        <w:rPr>
          <w:rFonts w:hint="eastAsia" w:ascii="黑体" w:hAnsi="黑体" w:eastAsia="黑体"/>
        </w:rPr>
        <w:t>7.5.1 控制及安全功能检查</w:t>
      </w:r>
    </w:p>
    <w:p>
      <w:pPr>
        <w:pStyle w:val="79"/>
        <w:numPr>
          <w:ilvl w:val="3"/>
          <w:numId w:val="0"/>
        </w:numPr>
        <w:spacing w:line="300" w:lineRule="auto"/>
        <w:ind w:right="210" w:firstLine="420"/>
        <w:rPr>
          <w:rFonts w:hAnsi="黑体"/>
        </w:rPr>
      </w:pPr>
      <w:r>
        <w:rPr>
          <w:rFonts w:hint="eastAsia" w:hAnsi="黑体"/>
        </w:rPr>
        <w:t>1）将风力发电系统置于自动模式，在满足风况的条件下机组应能自动并网运行，在停机风速下应能自动停机，符合标准GB/T 17646的相关规定。</w:t>
      </w:r>
    </w:p>
    <w:p>
      <w:pPr>
        <w:pStyle w:val="79"/>
        <w:numPr>
          <w:ilvl w:val="3"/>
          <w:numId w:val="0"/>
        </w:numPr>
        <w:spacing w:line="300" w:lineRule="auto"/>
        <w:ind w:right="210" w:firstLine="420"/>
        <w:rPr>
          <w:rFonts w:hAnsi="黑体"/>
        </w:rPr>
      </w:pPr>
      <w:r>
        <w:rPr>
          <w:rFonts w:hint="eastAsia" w:hAnsi="黑体"/>
        </w:rPr>
        <w:t>2）将功率分别设定为额定功率以下的某一定值，在满足风况的条件下机组功率应能稳定在设定值上，符合标准GB/T 17646的相关规定。</w:t>
      </w:r>
    </w:p>
    <w:p>
      <w:pPr>
        <w:pStyle w:val="79"/>
        <w:numPr>
          <w:ilvl w:val="3"/>
          <w:numId w:val="0"/>
        </w:numPr>
        <w:spacing w:line="300" w:lineRule="auto"/>
        <w:ind w:right="210" w:firstLine="420"/>
        <w:rPr>
          <w:rFonts w:hAnsi="黑体"/>
        </w:rPr>
      </w:pPr>
      <w:r>
        <w:rPr>
          <w:rFonts w:hint="eastAsia" w:hAnsi="黑体"/>
        </w:rPr>
        <w:t>3）在安全风速以内，按制造商声明的手动制动方式制动，应符合标准GB/T 17646的相关规定。</w:t>
      </w:r>
    </w:p>
    <w:p>
      <w:pPr>
        <w:pStyle w:val="79"/>
        <w:numPr>
          <w:ilvl w:val="3"/>
          <w:numId w:val="0"/>
        </w:numPr>
        <w:spacing w:line="300" w:lineRule="auto"/>
        <w:ind w:right="210" w:firstLine="420" w:firstLineChars="200"/>
        <w:rPr>
          <w:rFonts w:ascii="黑体" w:hAnsi="黑体" w:eastAsia="黑体"/>
        </w:rPr>
      </w:pPr>
      <w:r>
        <w:rPr>
          <w:rFonts w:hint="eastAsia" w:ascii="黑体" w:hAnsi="黑体" w:eastAsia="黑体"/>
        </w:rPr>
        <w:t>7.5.2 并网电能质量测试</w:t>
      </w:r>
    </w:p>
    <w:p>
      <w:pPr>
        <w:pStyle w:val="79"/>
        <w:numPr>
          <w:ilvl w:val="3"/>
          <w:numId w:val="0"/>
        </w:numPr>
        <w:spacing w:line="300" w:lineRule="auto"/>
        <w:ind w:right="210" w:firstLine="420"/>
        <w:rPr>
          <w:rFonts w:ascii="黑体" w:hAnsi="黑体" w:eastAsia="黑体"/>
        </w:rPr>
      </w:pPr>
      <w:r>
        <w:rPr>
          <w:rFonts w:hint="eastAsia" w:hAnsi="黑体"/>
        </w:rPr>
        <w:t>风力发电系统并网电能质量测试应包括谐波、闪变和三相电压不平衡测试，应符合标准GB/T 14549、GB/T 12326和GB/T 15543的相关规定。</w:t>
      </w:r>
    </w:p>
    <w:p>
      <w:pPr>
        <w:pStyle w:val="2"/>
        <w:spacing w:before="0" w:line="300" w:lineRule="auto"/>
        <w:ind w:firstLine="454" w:firstLineChars="200"/>
        <w:rPr>
          <w:rFonts w:ascii="黑体" w:hAnsi="黑体" w:eastAsia="黑体" w:cs="黑体"/>
          <w:bCs w:val="0"/>
          <w:sz w:val="21"/>
          <w:szCs w:val="21"/>
        </w:rPr>
      </w:pPr>
      <w:bookmarkStart w:id="48" w:name="_Toc27746897"/>
      <w:r>
        <w:rPr>
          <w:rFonts w:hint="eastAsia" w:ascii="黑体" w:hAnsi="黑体" w:eastAsia="黑体" w:cs="黑体"/>
          <w:bCs w:val="0"/>
          <w:sz w:val="21"/>
          <w:szCs w:val="21"/>
        </w:rPr>
        <w:t>7.6 电化学储能系统功能检查与测试</w:t>
      </w:r>
      <w:bookmarkEnd w:id="48"/>
    </w:p>
    <w:p>
      <w:pPr>
        <w:pStyle w:val="79"/>
        <w:numPr>
          <w:ilvl w:val="3"/>
          <w:numId w:val="0"/>
        </w:numPr>
        <w:spacing w:line="300" w:lineRule="auto"/>
        <w:ind w:right="210" w:firstLine="420" w:firstLineChars="200"/>
        <w:rPr>
          <w:rFonts w:ascii="黑体" w:hAnsi="黑体" w:eastAsia="黑体"/>
        </w:rPr>
      </w:pPr>
      <w:r>
        <w:rPr>
          <w:rFonts w:ascii="黑体" w:hAnsi="黑体" w:eastAsia="黑体"/>
        </w:rPr>
        <w:t>7</w:t>
      </w:r>
      <w:r>
        <w:rPr>
          <w:rFonts w:hint="eastAsia" w:ascii="黑体" w:hAnsi="黑体" w:eastAsia="黑体"/>
        </w:rPr>
        <w:t>.6.1</w:t>
      </w:r>
      <w:r>
        <w:rPr>
          <w:rFonts w:ascii="黑体" w:hAnsi="黑体" w:eastAsia="黑体"/>
        </w:rPr>
        <w:t xml:space="preserve"> </w:t>
      </w:r>
      <w:r>
        <w:rPr>
          <w:rFonts w:hint="eastAsia" w:ascii="黑体" w:hAnsi="黑体" w:eastAsia="黑体"/>
        </w:rPr>
        <w:t>安全保护功能检查</w:t>
      </w:r>
    </w:p>
    <w:p>
      <w:pPr>
        <w:pStyle w:val="55"/>
        <w:numPr>
          <w:ilvl w:val="4"/>
          <w:numId w:val="0"/>
        </w:numPr>
        <w:spacing w:line="300" w:lineRule="auto"/>
        <w:ind w:right="210" w:firstLine="420" w:firstLineChars="200"/>
        <w:rPr>
          <w:kern w:val="0"/>
          <w:szCs w:val="21"/>
        </w:rPr>
      </w:pPr>
      <w:r>
        <w:rPr>
          <w:rFonts w:hint="eastAsia"/>
          <w:kern w:val="0"/>
          <w:szCs w:val="21"/>
        </w:rPr>
        <w:t>采用故障模拟的方法使储能系统触发故障保护，验证控制系统、储能变流器及电池管理系统等设备之间故障告警、保护及相关处理机制。</w:t>
      </w:r>
    </w:p>
    <w:p>
      <w:pPr>
        <w:pStyle w:val="55"/>
        <w:numPr>
          <w:ilvl w:val="0"/>
          <w:numId w:val="24"/>
        </w:numPr>
        <w:spacing w:line="300" w:lineRule="auto"/>
        <w:ind w:right="210"/>
        <w:rPr>
          <w:kern w:val="0"/>
          <w:szCs w:val="21"/>
        </w:rPr>
      </w:pPr>
      <w:r>
        <w:rPr>
          <w:rFonts w:hint="eastAsia"/>
          <w:kern w:val="0"/>
          <w:szCs w:val="21"/>
        </w:rPr>
        <w:t>温控系统失效</w:t>
      </w:r>
    </w:p>
    <w:p>
      <w:pPr>
        <w:pStyle w:val="93"/>
        <w:spacing w:line="276" w:lineRule="auto"/>
        <w:rPr>
          <w:kern w:val="0"/>
          <w:szCs w:val="21"/>
        </w:rPr>
      </w:pPr>
      <w:r>
        <w:rPr>
          <w:rFonts w:hint="eastAsia"/>
          <w:kern w:val="0"/>
          <w:szCs w:val="21"/>
        </w:rPr>
        <w:t>电池管理系统应具备温控系统故障自诊断功能，当温控系统失效时，电池管理系统能够将问题电池簇退出运行，并上报相关告警、保护信号。</w:t>
      </w:r>
    </w:p>
    <w:p>
      <w:pPr>
        <w:pStyle w:val="93"/>
        <w:spacing w:line="276" w:lineRule="auto"/>
        <w:rPr>
          <w:kern w:val="0"/>
          <w:szCs w:val="21"/>
        </w:rPr>
      </w:pPr>
      <w:r>
        <w:rPr>
          <w:rFonts w:hint="eastAsia"/>
          <w:kern w:val="0"/>
          <w:szCs w:val="21"/>
        </w:rPr>
        <w:t>储能变流器应具备温控系统故障自诊断功能，当温控系统失效时，控制系统能够就地故障隔离，将储能变流器停机、向电池管理系统发出停止充放电指令，并上报相关告警、保护信号。</w:t>
      </w:r>
    </w:p>
    <w:p>
      <w:pPr>
        <w:pStyle w:val="93"/>
        <w:spacing w:line="276" w:lineRule="auto"/>
        <w:rPr>
          <w:kern w:val="0"/>
          <w:szCs w:val="21"/>
        </w:rPr>
      </w:pPr>
      <w:r>
        <w:rPr>
          <w:rFonts w:hint="eastAsia"/>
          <w:kern w:val="0"/>
          <w:szCs w:val="21"/>
        </w:rPr>
        <w:t>暖通系统应具备温控系统故障自诊断功能，当温控系统失效时，应停止储能系统工作，并上报相关告警、保护信号。</w:t>
      </w:r>
    </w:p>
    <w:p>
      <w:pPr>
        <w:pStyle w:val="55"/>
        <w:numPr>
          <w:ilvl w:val="0"/>
          <w:numId w:val="24"/>
        </w:numPr>
        <w:spacing w:line="300" w:lineRule="auto"/>
        <w:ind w:right="210"/>
        <w:rPr>
          <w:kern w:val="0"/>
          <w:szCs w:val="21"/>
        </w:rPr>
      </w:pPr>
      <w:r>
        <w:rPr>
          <w:rFonts w:hint="eastAsia"/>
          <w:kern w:val="0"/>
          <w:szCs w:val="21"/>
        </w:rPr>
        <w:t>主控电源失效</w:t>
      </w:r>
    </w:p>
    <w:p>
      <w:pPr>
        <w:pStyle w:val="93"/>
        <w:spacing w:line="276" w:lineRule="auto"/>
        <w:rPr>
          <w:kern w:val="0"/>
          <w:szCs w:val="21"/>
        </w:rPr>
      </w:pPr>
      <w:r>
        <w:rPr>
          <w:rFonts w:hint="eastAsia"/>
          <w:kern w:val="0"/>
          <w:szCs w:val="21"/>
        </w:rPr>
        <w:t>切断电池管理系统、消防系统的主控电源开关，应具备供电系统故障自诊断功能。当主控电源过低或过高时，应能及时启动备用电源，并上报相关告警、保护信号。</w:t>
      </w:r>
    </w:p>
    <w:p>
      <w:pPr>
        <w:pStyle w:val="55"/>
        <w:numPr>
          <w:ilvl w:val="0"/>
          <w:numId w:val="24"/>
        </w:numPr>
        <w:spacing w:line="300" w:lineRule="auto"/>
        <w:ind w:right="210"/>
        <w:rPr>
          <w:kern w:val="0"/>
          <w:szCs w:val="21"/>
        </w:rPr>
      </w:pPr>
      <w:r>
        <w:rPr>
          <w:rFonts w:hint="eastAsia"/>
          <w:kern w:val="0"/>
          <w:szCs w:val="21"/>
        </w:rPr>
        <w:t>通讯故障</w:t>
      </w:r>
    </w:p>
    <w:p>
      <w:pPr>
        <w:pStyle w:val="93"/>
        <w:spacing w:line="276" w:lineRule="auto"/>
        <w:rPr>
          <w:kern w:val="0"/>
          <w:szCs w:val="21"/>
        </w:rPr>
      </w:pPr>
      <w:r>
        <w:rPr>
          <w:rFonts w:hint="eastAsia"/>
          <w:kern w:val="0"/>
          <w:szCs w:val="21"/>
        </w:rPr>
        <w:t>储能变流器、电池管理系统及能量管理系统间应具有两两连接的通讯线缆，并具备通讯故障保护功能。当任意两设备间发生通信故障，均应使储能变流器停止运行，并由能量管理系统准确报告故障位置。</w:t>
      </w:r>
    </w:p>
    <w:p>
      <w:pPr>
        <w:pStyle w:val="55"/>
        <w:numPr>
          <w:ilvl w:val="0"/>
          <w:numId w:val="24"/>
        </w:numPr>
        <w:spacing w:line="300" w:lineRule="auto"/>
        <w:ind w:right="210"/>
        <w:rPr>
          <w:kern w:val="0"/>
          <w:szCs w:val="21"/>
        </w:rPr>
      </w:pPr>
      <w:r>
        <w:rPr>
          <w:rFonts w:hint="eastAsia"/>
          <w:kern w:val="0"/>
          <w:szCs w:val="21"/>
        </w:rPr>
        <w:t>绝缘故障</w:t>
      </w:r>
    </w:p>
    <w:p>
      <w:pPr>
        <w:spacing w:line="276" w:lineRule="auto"/>
        <w:ind w:firstLine="420" w:firstLineChars="200"/>
        <w:rPr>
          <w:rFonts w:hint="eastAsia"/>
          <w:kern w:val="0"/>
          <w:szCs w:val="21"/>
        </w:rPr>
      </w:pPr>
      <w:r>
        <w:rPr>
          <w:rFonts w:hint="eastAsia"/>
          <w:kern w:val="0"/>
          <w:szCs w:val="21"/>
        </w:rPr>
        <w:t>储能系统应在启动前和运行中具备绝缘监察功能，当发生接地故障时，应能有效停止储能变流器运行，自动断开电网、储能变流器、电池堆间的电气连接，并由能量管理系统进行报警。</w:t>
      </w:r>
    </w:p>
    <w:p>
      <w:pPr>
        <w:pStyle w:val="79"/>
        <w:numPr>
          <w:ilvl w:val="3"/>
          <w:numId w:val="0"/>
        </w:numPr>
        <w:spacing w:line="300" w:lineRule="auto"/>
        <w:ind w:right="210" w:firstLine="420" w:firstLineChars="200"/>
        <w:rPr>
          <w:rFonts w:ascii="黑体" w:hAnsi="黑体" w:eastAsia="黑体"/>
        </w:rPr>
      </w:pPr>
      <w:r>
        <w:rPr>
          <w:rFonts w:ascii="黑体" w:hAnsi="黑体" w:eastAsia="黑体"/>
        </w:rPr>
        <w:t>7</w:t>
      </w:r>
      <w:r>
        <w:rPr>
          <w:rFonts w:hint="eastAsia" w:ascii="黑体" w:hAnsi="黑体" w:eastAsia="黑体"/>
        </w:rPr>
        <w:t>.6.2</w:t>
      </w:r>
      <w:r>
        <w:rPr>
          <w:rFonts w:ascii="黑体" w:hAnsi="黑体" w:eastAsia="黑体"/>
        </w:rPr>
        <w:t xml:space="preserve"> </w:t>
      </w:r>
      <w:r>
        <w:rPr>
          <w:rFonts w:hint="eastAsia" w:ascii="黑体" w:hAnsi="黑体" w:eastAsia="黑体"/>
        </w:rPr>
        <w:t>性能测试</w:t>
      </w:r>
    </w:p>
    <w:p>
      <w:pPr>
        <w:pStyle w:val="55"/>
        <w:numPr>
          <w:ilvl w:val="4"/>
          <w:numId w:val="0"/>
        </w:numPr>
        <w:spacing w:line="300" w:lineRule="auto"/>
        <w:ind w:right="210" w:firstLine="420" w:firstLineChars="200"/>
        <w:rPr>
          <w:kern w:val="0"/>
          <w:szCs w:val="21"/>
        </w:rPr>
      </w:pPr>
      <w:r>
        <w:rPr>
          <w:rFonts w:hint="eastAsia"/>
          <w:kern w:val="0"/>
          <w:szCs w:val="21"/>
        </w:rPr>
        <w:t>电化学储能系统的性能测试主要包括功率控制能力测试、额定能量测试、额定功率能量转换效率测试、充放电响应时间测试、充放电调节和转换时间测试、电能质量测试等，测试</w:t>
      </w:r>
      <w:r>
        <w:rPr>
          <w:kern w:val="0"/>
          <w:szCs w:val="21"/>
        </w:rPr>
        <w:t>方法</w:t>
      </w:r>
      <w:r>
        <w:rPr>
          <w:rFonts w:hint="eastAsia"/>
          <w:kern w:val="0"/>
          <w:szCs w:val="21"/>
        </w:rPr>
        <w:t>按照</w:t>
      </w:r>
      <w:r>
        <w:rPr>
          <w:kern w:val="0"/>
          <w:szCs w:val="21"/>
        </w:rPr>
        <w:t>国标</w:t>
      </w:r>
      <w:r>
        <w:rPr>
          <w:rFonts w:hint="eastAsia"/>
          <w:kern w:val="0"/>
          <w:szCs w:val="21"/>
        </w:rPr>
        <w:t>G</w:t>
      </w:r>
      <w:r>
        <w:rPr>
          <w:kern w:val="0"/>
          <w:szCs w:val="21"/>
        </w:rPr>
        <w:t>B/T 36548</w:t>
      </w:r>
      <w:r>
        <w:rPr>
          <w:rFonts w:hint="eastAsia"/>
          <w:kern w:val="0"/>
          <w:szCs w:val="21"/>
        </w:rPr>
        <w:t>执行，</w:t>
      </w:r>
      <w:r>
        <w:rPr>
          <w:kern w:val="0"/>
          <w:szCs w:val="21"/>
        </w:rPr>
        <w:t>判定依据参考</w:t>
      </w:r>
      <w:r>
        <w:rPr>
          <w:rFonts w:hint="eastAsia"/>
          <w:kern w:val="0"/>
          <w:szCs w:val="21"/>
        </w:rPr>
        <w:t>G</w:t>
      </w:r>
      <w:r>
        <w:rPr>
          <w:kern w:val="0"/>
          <w:szCs w:val="21"/>
        </w:rPr>
        <w:t>B/T 365</w:t>
      </w:r>
      <w:r>
        <w:rPr>
          <w:rFonts w:hint="eastAsia"/>
          <w:kern w:val="0"/>
          <w:szCs w:val="21"/>
        </w:rPr>
        <w:t>47。</w:t>
      </w:r>
    </w:p>
    <w:p>
      <w:pPr>
        <w:pStyle w:val="55"/>
        <w:numPr>
          <w:ilvl w:val="4"/>
          <w:numId w:val="0"/>
        </w:numPr>
        <w:spacing w:line="300" w:lineRule="auto"/>
        <w:ind w:right="210" w:firstLine="420" w:firstLineChars="200"/>
        <w:rPr>
          <w:kern w:val="0"/>
          <w:szCs w:val="21"/>
        </w:rPr>
      </w:pPr>
      <w:r>
        <w:rPr>
          <w:rFonts w:hint="eastAsia"/>
          <w:kern w:val="0"/>
          <w:szCs w:val="21"/>
        </w:rPr>
        <w:t>电化学储能系统及储能设备的技术要求应符合G</w:t>
      </w:r>
      <w:r>
        <w:rPr>
          <w:kern w:val="0"/>
          <w:szCs w:val="21"/>
        </w:rPr>
        <w:t>B/T 365</w:t>
      </w:r>
      <w:r>
        <w:rPr>
          <w:rFonts w:hint="eastAsia"/>
          <w:kern w:val="0"/>
          <w:szCs w:val="21"/>
        </w:rPr>
        <w:t>58的相关规定。</w:t>
      </w:r>
    </w:p>
    <w:p>
      <w:pPr>
        <w:pStyle w:val="2"/>
        <w:spacing w:before="0" w:line="300" w:lineRule="auto"/>
        <w:ind w:firstLine="454" w:firstLineChars="200"/>
        <w:rPr>
          <w:rFonts w:ascii="黑体" w:hAnsi="黑体" w:eastAsia="黑体" w:cs="黑体"/>
          <w:bCs w:val="0"/>
          <w:sz w:val="21"/>
          <w:szCs w:val="21"/>
        </w:rPr>
      </w:pPr>
      <w:bookmarkStart w:id="49" w:name="_Toc27746898"/>
      <w:r>
        <w:rPr>
          <w:rFonts w:hint="eastAsia" w:ascii="黑体" w:hAnsi="黑体" w:eastAsia="黑体" w:cs="黑体"/>
          <w:bCs w:val="0"/>
          <w:sz w:val="21"/>
          <w:szCs w:val="21"/>
        </w:rPr>
        <w:t>7.7 能量管理系统功能检查与测试</w:t>
      </w:r>
      <w:bookmarkEnd w:id="49"/>
    </w:p>
    <w:p>
      <w:pPr>
        <w:pStyle w:val="79"/>
        <w:numPr>
          <w:ilvl w:val="3"/>
          <w:numId w:val="0"/>
        </w:numPr>
        <w:spacing w:line="300" w:lineRule="auto"/>
        <w:ind w:right="210" w:firstLine="420" w:firstLineChars="200"/>
        <w:rPr>
          <w:rFonts w:ascii="黑体" w:hAnsi="黑体" w:eastAsia="黑体"/>
        </w:rPr>
      </w:pPr>
      <w:r>
        <w:rPr>
          <w:rFonts w:hint="eastAsia" w:ascii="黑体" w:hAnsi="黑体" w:eastAsia="黑体"/>
        </w:rPr>
        <w:t>7.7.1</w:t>
      </w:r>
      <w:r>
        <w:rPr>
          <w:rFonts w:ascii="黑体" w:hAnsi="黑体" w:eastAsia="黑体"/>
        </w:rPr>
        <w:t xml:space="preserve"> </w:t>
      </w:r>
      <w:r>
        <w:rPr>
          <w:rFonts w:hint="eastAsia" w:ascii="黑体" w:hAnsi="黑体" w:eastAsia="黑体"/>
        </w:rPr>
        <w:t>系统通信</w:t>
      </w:r>
      <w:r>
        <w:rPr>
          <w:rFonts w:ascii="黑体" w:hAnsi="黑体" w:eastAsia="黑体"/>
        </w:rPr>
        <w:t>检查</w:t>
      </w:r>
    </w:p>
    <w:p>
      <w:pPr>
        <w:pStyle w:val="79"/>
        <w:numPr>
          <w:ilvl w:val="3"/>
          <w:numId w:val="0"/>
        </w:numPr>
        <w:spacing w:line="300" w:lineRule="auto"/>
        <w:ind w:right="210" w:firstLine="420" w:firstLineChars="200"/>
        <w:rPr>
          <w:rFonts w:hAnsi="黑体"/>
        </w:rPr>
      </w:pPr>
      <w:r>
        <w:rPr>
          <w:rFonts w:hint="eastAsia" w:hAnsi="黑体"/>
        </w:rPr>
        <w:t>对</w:t>
      </w:r>
      <w:r>
        <w:rPr>
          <w:rFonts w:hAnsi="黑体"/>
        </w:rPr>
        <w:t>传输设备、电源设备、接入网设备、数据通信设备及线路</w:t>
      </w:r>
      <w:r>
        <w:rPr>
          <w:rFonts w:hint="eastAsia" w:hAnsi="黑体"/>
        </w:rPr>
        <w:t>进行检查</w:t>
      </w:r>
      <w:r>
        <w:rPr>
          <w:rFonts w:hAnsi="黑体"/>
        </w:rPr>
        <w:t>，</w:t>
      </w:r>
      <w:r>
        <w:rPr>
          <w:rFonts w:hint="eastAsia" w:hAnsi="黑体"/>
        </w:rPr>
        <w:t>应符合设计要求。</w:t>
      </w:r>
    </w:p>
    <w:p>
      <w:pPr>
        <w:pStyle w:val="79"/>
        <w:numPr>
          <w:ilvl w:val="3"/>
          <w:numId w:val="0"/>
        </w:numPr>
        <w:spacing w:line="300" w:lineRule="auto"/>
        <w:ind w:right="210" w:firstLine="420" w:firstLineChars="200"/>
        <w:rPr>
          <w:rFonts w:ascii="黑体" w:hAnsi="黑体" w:eastAsia="黑体"/>
        </w:rPr>
      </w:pPr>
      <w:r>
        <w:rPr>
          <w:rFonts w:hint="eastAsia" w:ascii="黑体" w:hAnsi="黑体" w:eastAsia="黑体"/>
        </w:rPr>
        <w:t>7.7.2</w:t>
      </w:r>
      <w:r>
        <w:rPr>
          <w:rFonts w:ascii="黑体" w:hAnsi="黑体" w:eastAsia="黑体"/>
        </w:rPr>
        <w:t xml:space="preserve"> </w:t>
      </w:r>
      <w:r>
        <w:rPr>
          <w:rFonts w:hint="eastAsia" w:ascii="黑体" w:hAnsi="黑体" w:eastAsia="黑体"/>
        </w:rPr>
        <w:t>系统安全与性能检查</w:t>
      </w:r>
    </w:p>
    <w:p>
      <w:pPr>
        <w:pStyle w:val="79"/>
        <w:numPr>
          <w:ilvl w:val="3"/>
          <w:numId w:val="0"/>
        </w:numPr>
        <w:tabs>
          <w:tab w:val="left" w:pos="1140"/>
        </w:tabs>
        <w:spacing w:line="300" w:lineRule="auto"/>
        <w:ind w:right="210" w:firstLine="420"/>
        <w:rPr>
          <w:rFonts w:hAnsi="黑体"/>
        </w:rPr>
      </w:pPr>
      <w:r>
        <w:rPr>
          <w:rFonts w:hAnsi="黑体"/>
        </w:rPr>
        <w:t>1</w:t>
      </w:r>
      <w:r>
        <w:rPr>
          <w:rFonts w:hint="eastAsia" w:hAnsi="黑体"/>
        </w:rPr>
        <w:t xml:space="preserve">） </w:t>
      </w:r>
      <w:r>
        <w:rPr>
          <w:rFonts w:hAnsi="黑体"/>
        </w:rPr>
        <w:t>系统安全</w:t>
      </w:r>
      <w:r>
        <w:rPr>
          <w:rFonts w:hint="eastAsia" w:hAnsi="黑体"/>
        </w:rPr>
        <w:t>检查包括互联</w:t>
      </w:r>
      <w:r>
        <w:rPr>
          <w:rFonts w:hAnsi="黑体"/>
        </w:rPr>
        <w:t>安全、软件安全、冗余备份</w:t>
      </w:r>
      <w:r>
        <w:rPr>
          <w:rFonts w:hint="eastAsia" w:hAnsi="黑体"/>
        </w:rPr>
        <w:t>的</w:t>
      </w:r>
      <w:r>
        <w:rPr>
          <w:rFonts w:hAnsi="黑体"/>
        </w:rPr>
        <w:t>功能和指标，</w:t>
      </w:r>
      <w:r>
        <w:rPr>
          <w:rFonts w:hint="eastAsia" w:hAnsi="黑体"/>
        </w:rPr>
        <w:t>应符合标准GB/T 202</w:t>
      </w:r>
      <w:r>
        <w:rPr>
          <w:rFonts w:hAnsi="黑体"/>
        </w:rPr>
        <w:t>71</w:t>
      </w:r>
      <w:r>
        <w:rPr>
          <w:rFonts w:hint="eastAsia" w:hAnsi="黑体"/>
        </w:rPr>
        <w:t>的</w:t>
      </w:r>
      <w:r>
        <w:rPr>
          <w:rFonts w:hAnsi="黑体"/>
        </w:rPr>
        <w:t>相关规定</w:t>
      </w:r>
      <w:r>
        <w:rPr>
          <w:rFonts w:hint="eastAsia" w:hAnsi="黑体"/>
        </w:rPr>
        <w:t>。系统应</w:t>
      </w:r>
      <w:r>
        <w:rPr>
          <w:rFonts w:hAnsi="黑体"/>
        </w:rPr>
        <w:t>通过</w:t>
      </w:r>
      <w:r>
        <w:rPr>
          <w:rFonts w:hint="eastAsia" w:hAnsi="黑体"/>
        </w:rPr>
        <w:t>压力</w:t>
      </w:r>
      <w:r>
        <w:rPr>
          <w:rFonts w:hAnsi="黑体"/>
        </w:rPr>
        <w:t>测试与安全评估</w:t>
      </w:r>
      <w:r>
        <w:rPr>
          <w:rFonts w:hint="eastAsia" w:hAnsi="黑体"/>
        </w:rPr>
        <w:t>。</w:t>
      </w:r>
    </w:p>
    <w:p>
      <w:pPr>
        <w:pStyle w:val="79"/>
        <w:numPr>
          <w:ilvl w:val="3"/>
          <w:numId w:val="0"/>
        </w:numPr>
        <w:tabs>
          <w:tab w:val="left" w:pos="1140"/>
        </w:tabs>
        <w:spacing w:line="300" w:lineRule="auto"/>
        <w:ind w:right="210" w:firstLine="420" w:firstLineChars="200"/>
        <w:rPr>
          <w:rFonts w:hAnsi="黑体"/>
        </w:rPr>
      </w:pPr>
      <w:r>
        <w:rPr>
          <w:rFonts w:hAnsi="黑体"/>
        </w:rPr>
        <w:t>2</w:t>
      </w:r>
      <w:r>
        <w:rPr>
          <w:rFonts w:hint="eastAsia" w:hAnsi="黑体"/>
        </w:rPr>
        <w:t>）系统</w:t>
      </w:r>
      <w:r>
        <w:rPr>
          <w:rFonts w:hAnsi="黑体"/>
        </w:rPr>
        <w:t>性能</w:t>
      </w:r>
      <w:r>
        <w:rPr>
          <w:rFonts w:hint="eastAsia" w:hAnsi="黑体"/>
        </w:rPr>
        <w:t>检查</w:t>
      </w:r>
      <w:r>
        <w:rPr>
          <w:rFonts w:hAnsi="黑体"/>
        </w:rPr>
        <w:t>包括系统可靠性、存储</w:t>
      </w:r>
      <w:r>
        <w:rPr>
          <w:rFonts w:hint="eastAsia" w:hAnsi="黑体"/>
        </w:rPr>
        <w:t>要求</w:t>
      </w:r>
      <w:r>
        <w:rPr>
          <w:rFonts w:hAnsi="黑体"/>
        </w:rPr>
        <w:t>、显示要求、</w:t>
      </w:r>
      <w:r>
        <w:rPr>
          <w:rFonts w:hint="eastAsia" w:hAnsi="黑体"/>
        </w:rPr>
        <w:t>响应</w:t>
      </w:r>
      <w:r>
        <w:rPr>
          <w:rFonts w:hAnsi="黑体"/>
        </w:rPr>
        <w:t>时间</w:t>
      </w:r>
      <w:r>
        <w:rPr>
          <w:rFonts w:hint="eastAsia" w:hAnsi="黑体"/>
        </w:rPr>
        <w:t>的</w:t>
      </w:r>
      <w:r>
        <w:rPr>
          <w:rFonts w:hAnsi="黑体"/>
        </w:rPr>
        <w:t>功能和指标，</w:t>
      </w:r>
      <w:r>
        <w:rPr>
          <w:rFonts w:hint="eastAsia" w:hAnsi="黑体"/>
        </w:rPr>
        <w:t>应符合标准GB/T</w:t>
      </w:r>
      <w:r>
        <w:rPr>
          <w:rFonts w:hAnsi="黑体"/>
        </w:rPr>
        <w:t xml:space="preserve"> 36274</w:t>
      </w:r>
      <w:r>
        <w:rPr>
          <w:rFonts w:hint="eastAsia" w:hAnsi="黑体"/>
        </w:rPr>
        <w:t>的</w:t>
      </w:r>
      <w:r>
        <w:rPr>
          <w:rFonts w:hAnsi="黑体"/>
        </w:rPr>
        <w:t>相关规定。</w:t>
      </w:r>
    </w:p>
    <w:p>
      <w:pPr>
        <w:pStyle w:val="79"/>
        <w:numPr>
          <w:ilvl w:val="3"/>
          <w:numId w:val="0"/>
        </w:numPr>
        <w:spacing w:line="300" w:lineRule="auto"/>
        <w:ind w:right="210" w:firstLine="420" w:firstLineChars="200"/>
        <w:rPr>
          <w:rFonts w:ascii="黑体" w:hAnsi="黑体" w:eastAsia="黑体"/>
        </w:rPr>
      </w:pPr>
      <w:r>
        <w:rPr>
          <w:rFonts w:hint="eastAsia" w:ascii="黑体" w:hAnsi="黑体" w:eastAsia="黑体"/>
        </w:rPr>
        <w:t>7.7.3</w:t>
      </w:r>
      <w:r>
        <w:rPr>
          <w:rFonts w:ascii="黑体" w:hAnsi="黑体" w:eastAsia="黑体"/>
        </w:rPr>
        <w:t xml:space="preserve"> </w:t>
      </w:r>
      <w:r>
        <w:rPr>
          <w:rFonts w:hint="eastAsia" w:ascii="黑体" w:hAnsi="黑体" w:eastAsia="黑体"/>
        </w:rPr>
        <w:t>系统功能测试</w:t>
      </w:r>
    </w:p>
    <w:p>
      <w:pPr>
        <w:pStyle w:val="79"/>
        <w:numPr>
          <w:ilvl w:val="3"/>
          <w:numId w:val="0"/>
        </w:numPr>
        <w:spacing w:line="300" w:lineRule="auto"/>
        <w:ind w:right="210" w:firstLine="420"/>
        <w:rPr>
          <w:rFonts w:hAnsi="黑体"/>
        </w:rPr>
      </w:pPr>
      <w:r>
        <w:rPr>
          <w:rFonts w:hAnsi="黑体"/>
        </w:rPr>
        <w:t>1</w:t>
      </w:r>
      <w:r>
        <w:rPr>
          <w:rFonts w:hint="eastAsia" w:hAnsi="黑体"/>
        </w:rPr>
        <w:t>）信息</w:t>
      </w:r>
      <w:r>
        <w:rPr>
          <w:rFonts w:hAnsi="黑体"/>
        </w:rPr>
        <w:t>采集功能</w:t>
      </w:r>
      <w:r>
        <w:rPr>
          <w:rFonts w:hint="eastAsia" w:hAnsi="黑体"/>
        </w:rPr>
        <w:t>测试包括</w:t>
      </w:r>
      <w:r>
        <w:rPr>
          <w:rFonts w:hAnsi="黑体"/>
        </w:rPr>
        <w:t>采集协议和采集方式，</w:t>
      </w:r>
      <w:r>
        <w:rPr>
          <w:rFonts w:hint="eastAsia" w:hAnsi="黑体"/>
        </w:rPr>
        <w:t>应</w:t>
      </w:r>
      <w:r>
        <w:rPr>
          <w:rFonts w:hAnsi="黑体"/>
        </w:rPr>
        <w:t>符合</w:t>
      </w:r>
      <w:r>
        <w:rPr>
          <w:rFonts w:hint="eastAsia" w:hAnsi="黑体"/>
        </w:rPr>
        <w:t>设计要求。</w:t>
      </w:r>
    </w:p>
    <w:p>
      <w:pPr>
        <w:pStyle w:val="79"/>
        <w:numPr>
          <w:ilvl w:val="3"/>
          <w:numId w:val="0"/>
        </w:numPr>
        <w:spacing w:line="300" w:lineRule="auto"/>
        <w:ind w:right="210" w:firstLine="420"/>
        <w:rPr>
          <w:rFonts w:hAnsi="黑体"/>
        </w:rPr>
      </w:pPr>
      <w:r>
        <w:rPr>
          <w:rFonts w:hAnsi="黑体"/>
        </w:rPr>
        <w:t>2</w:t>
      </w:r>
      <w:r>
        <w:rPr>
          <w:rFonts w:hint="eastAsia" w:hAnsi="黑体"/>
        </w:rPr>
        <w:t>）数据</w:t>
      </w:r>
      <w:r>
        <w:rPr>
          <w:rFonts w:hAnsi="黑体"/>
        </w:rPr>
        <w:t>管理功能</w:t>
      </w:r>
      <w:r>
        <w:rPr>
          <w:rFonts w:hint="eastAsia" w:hAnsi="黑体"/>
        </w:rPr>
        <w:t>测试</w:t>
      </w:r>
      <w:r>
        <w:rPr>
          <w:rFonts w:hAnsi="黑体"/>
        </w:rPr>
        <w:t>包括数据</w:t>
      </w:r>
      <w:r>
        <w:rPr>
          <w:rFonts w:hint="eastAsia" w:hAnsi="黑体"/>
        </w:rPr>
        <w:t>预</w:t>
      </w:r>
      <w:r>
        <w:rPr>
          <w:rFonts w:hAnsi="黑体"/>
        </w:rPr>
        <w:t>处理、查询、数据库管理、存储</w:t>
      </w:r>
      <w:r>
        <w:rPr>
          <w:rFonts w:hint="eastAsia" w:hAnsi="黑体"/>
        </w:rPr>
        <w:t>功能，应符合设计要求。</w:t>
      </w:r>
    </w:p>
    <w:p>
      <w:pPr>
        <w:pStyle w:val="79"/>
        <w:numPr>
          <w:ilvl w:val="3"/>
          <w:numId w:val="0"/>
        </w:numPr>
        <w:spacing w:line="300" w:lineRule="auto"/>
        <w:ind w:right="210" w:firstLine="420"/>
        <w:rPr>
          <w:rFonts w:hAnsi="黑体"/>
        </w:rPr>
      </w:pPr>
      <w:r>
        <w:rPr>
          <w:rFonts w:hAnsi="黑体"/>
        </w:rPr>
        <w:t>3</w:t>
      </w:r>
      <w:r>
        <w:rPr>
          <w:rFonts w:hint="eastAsia" w:hAnsi="黑体"/>
        </w:rPr>
        <w:t>）事件管理功能测试宜包括事件设置、事件上报、事件查询功能，应符合设计要求。</w:t>
      </w:r>
    </w:p>
    <w:p>
      <w:pPr>
        <w:pStyle w:val="79"/>
        <w:numPr>
          <w:ilvl w:val="3"/>
          <w:numId w:val="0"/>
        </w:numPr>
        <w:spacing w:line="300" w:lineRule="auto"/>
        <w:ind w:right="210" w:firstLine="420"/>
        <w:rPr>
          <w:rFonts w:hAnsi="黑体"/>
        </w:rPr>
      </w:pPr>
      <w:r>
        <w:rPr>
          <w:rFonts w:hAnsi="黑体"/>
        </w:rPr>
        <w:t>4</w:t>
      </w:r>
      <w:r>
        <w:rPr>
          <w:rFonts w:hint="eastAsia" w:hAnsi="黑体"/>
        </w:rPr>
        <w:t>）运行管理功能测试宜</w:t>
      </w:r>
      <w:r>
        <w:rPr>
          <w:rFonts w:hAnsi="黑体"/>
        </w:rPr>
        <w:t>包括</w:t>
      </w:r>
      <w:r>
        <w:rPr>
          <w:rFonts w:hint="eastAsia" w:hAnsi="黑体"/>
        </w:rPr>
        <w:t>权限管理、系统对时、终端管理、工况管理、维护管理功能，应符合设计要求。</w:t>
      </w:r>
    </w:p>
    <w:p>
      <w:pPr>
        <w:pStyle w:val="79"/>
        <w:numPr>
          <w:ilvl w:val="3"/>
          <w:numId w:val="0"/>
        </w:numPr>
        <w:spacing w:line="300" w:lineRule="auto"/>
        <w:ind w:right="210" w:firstLine="420"/>
        <w:rPr>
          <w:rFonts w:hAnsi="黑体"/>
        </w:rPr>
      </w:pPr>
      <w:r>
        <w:rPr>
          <w:rFonts w:hAnsi="黑体"/>
        </w:rPr>
        <w:t>5</w:t>
      </w:r>
      <w:r>
        <w:rPr>
          <w:rFonts w:hint="eastAsia" w:hAnsi="黑体"/>
        </w:rPr>
        <w:t>）监测</w:t>
      </w:r>
      <w:r>
        <w:rPr>
          <w:rFonts w:hAnsi="黑体"/>
        </w:rPr>
        <w:t>与分析</w:t>
      </w:r>
      <w:r>
        <w:rPr>
          <w:rFonts w:hint="eastAsia" w:hAnsi="黑体"/>
        </w:rPr>
        <w:t>功能测试宜</w:t>
      </w:r>
      <w:r>
        <w:rPr>
          <w:rFonts w:hAnsi="黑体"/>
        </w:rPr>
        <w:t>包括</w:t>
      </w:r>
      <w:r>
        <w:rPr>
          <w:rFonts w:hint="eastAsia" w:hAnsi="黑体"/>
        </w:rPr>
        <w:t>用能监测</w:t>
      </w:r>
      <w:r>
        <w:rPr>
          <w:rFonts w:hAnsi="黑体"/>
        </w:rPr>
        <w:t>、用能分析</w:t>
      </w:r>
      <w:r>
        <w:rPr>
          <w:rFonts w:hint="eastAsia" w:hAnsi="黑体"/>
        </w:rPr>
        <w:t>、</w:t>
      </w:r>
      <w:r>
        <w:rPr>
          <w:rFonts w:hAnsi="黑体"/>
        </w:rPr>
        <w:t>能效对标、</w:t>
      </w:r>
      <w:r>
        <w:rPr>
          <w:rFonts w:hint="eastAsia" w:hAnsi="黑体"/>
        </w:rPr>
        <w:t>能效</w:t>
      </w:r>
      <w:r>
        <w:rPr>
          <w:rFonts w:hAnsi="黑体"/>
        </w:rPr>
        <w:t>评估、报表分析、运行优化、能源考核和经济性分析、</w:t>
      </w:r>
      <w:r>
        <w:rPr>
          <w:rFonts w:hint="eastAsia" w:hAnsi="黑体"/>
        </w:rPr>
        <w:t>能源</w:t>
      </w:r>
      <w:r>
        <w:rPr>
          <w:rFonts w:hAnsi="黑体"/>
        </w:rPr>
        <w:t>计划管理、节能管理、</w:t>
      </w:r>
      <w:r>
        <w:rPr>
          <w:rFonts w:hint="eastAsia" w:hAnsi="黑体"/>
        </w:rPr>
        <w:t>电力</w:t>
      </w:r>
      <w:r>
        <w:rPr>
          <w:rFonts w:hAnsi="黑体"/>
        </w:rPr>
        <w:t>需求响应功能，</w:t>
      </w:r>
      <w:r>
        <w:rPr>
          <w:rFonts w:hint="eastAsia" w:hAnsi="黑体"/>
        </w:rPr>
        <w:t>应符合设计要求。</w:t>
      </w:r>
    </w:p>
    <w:p>
      <w:pPr>
        <w:pStyle w:val="2"/>
        <w:spacing w:before="0" w:line="300" w:lineRule="auto"/>
        <w:ind w:firstLine="454" w:firstLineChars="200"/>
        <w:rPr>
          <w:rFonts w:ascii="黑体" w:hAnsi="黑体" w:eastAsia="黑体" w:cs="黑体"/>
          <w:bCs w:val="0"/>
          <w:sz w:val="21"/>
          <w:szCs w:val="21"/>
        </w:rPr>
      </w:pPr>
      <w:bookmarkStart w:id="50" w:name="_Toc27746899"/>
      <w:r>
        <w:rPr>
          <w:rFonts w:hint="eastAsia" w:ascii="黑体" w:hAnsi="黑体" w:eastAsia="黑体" w:cs="黑体"/>
          <w:bCs w:val="0"/>
          <w:sz w:val="21"/>
          <w:szCs w:val="21"/>
        </w:rPr>
        <w:t>8</w:t>
      </w:r>
      <w:r>
        <w:rPr>
          <w:rFonts w:ascii="黑体" w:hAnsi="黑体" w:eastAsia="黑体" w:cs="黑体"/>
          <w:bCs w:val="0"/>
          <w:sz w:val="21"/>
          <w:szCs w:val="21"/>
        </w:rPr>
        <w:t xml:space="preserve">  </w:t>
      </w:r>
      <w:r>
        <w:rPr>
          <w:rFonts w:hint="eastAsia" w:ascii="黑体" w:hAnsi="黑体" w:eastAsia="黑体" w:cs="黑体"/>
          <w:bCs w:val="0"/>
          <w:sz w:val="21"/>
          <w:szCs w:val="21"/>
        </w:rPr>
        <w:t>多能互补系统整体验收与</w:t>
      </w:r>
      <w:r>
        <w:rPr>
          <w:rFonts w:ascii="黑体" w:hAnsi="黑体" w:eastAsia="黑体" w:cs="黑体"/>
          <w:bCs w:val="0"/>
          <w:sz w:val="21"/>
          <w:szCs w:val="21"/>
        </w:rPr>
        <w:t>测试</w:t>
      </w:r>
      <w:bookmarkEnd w:id="50"/>
    </w:p>
    <w:p>
      <w:pPr>
        <w:pStyle w:val="2"/>
        <w:spacing w:before="0" w:line="300" w:lineRule="auto"/>
        <w:ind w:firstLine="454" w:firstLineChars="200"/>
        <w:rPr>
          <w:rFonts w:ascii="黑体" w:hAnsi="黑体" w:eastAsia="黑体" w:cs="黑体"/>
          <w:bCs w:val="0"/>
          <w:sz w:val="21"/>
          <w:szCs w:val="21"/>
        </w:rPr>
      </w:pPr>
      <w:bookmarkStart w:id="51" w:name="_Toc27746900"/>
      <w:r>
        <w:rPr>
          <w:rFonts w:ascii="黑体" w:hAnsi="黑体" w:eastAsia="黑体" w:cs="黑体"/>
          <w:bCs w:val="0"/>
          <w:sz w:val="21"/>
          <w:szCs w:val="21"/>
        </w:rPr>
        <w:t xml:space="preserve">8.1 </w:t>
      </w:r>
      <w:r>
        <w:rPr>
          <w:rFonts w:hint="eastAsia" w:ascii="黑体" w:hAnsi="黑体" w:eastAsia="黑体" w:cs="黑体"/>
          <w:bCs w:val="0"/>
          <w:sz w:val="21"/>
          <w:szCs w:val="21"/>
        </w:rPr>
        <w:t>系统安全检查</w:t>
      </w:r>
      <w:bookmarkEnd w:id="51"/>
    </w:p>
    <w:p>
      <w:pPr>
        <w:pStyle w:val="41"/>
        <w:spacing w:line="300" w:lineRule="auto"/>
        <w:ind w:firstLine="420"/>
      </w:pPr>
      <w:r>
        <w:rPr>
          <w:rFonts w:hint="eastAsia"/>
        </w:rPr>
        <w:t>1）系统防雷与接地的安装应符合标准GB 50169的相关规定。</w:t>
      </w:r>
    </w:p>
    <w:p>
      <w:pPr>
        <w:pStyle w:val="41"/>
        <w:spacing w:line="300" w:lineRule="auto"/>
        <w:ind w:firstLine="420"/>
      </w:pPr>
      <w:r>
        <w:rPr>
          <w:rFonts w:hint="eastAsia"/>
        </w:rPr>
        <w:t>2）系统电力部分的继电保护装置整定值应符合标准GB/T 34930的相关规定，系统电力部分的保护控制应符合标准GB/T 19115.1的相关规定。</w:t>
      </w:r>
    </w:p>
    <w:p>
      <w:pPr>
        <w:pStyle w:val="41"/>
        <w:spacing w:line="300" w:lineRule="auto"/>
        <w:ind w:firstLine="420" w:firstLineChars="0"/>
      </w:pPr>
      <w:r>
        <w:rPr>
          <w:rFonts w:hint="eastAsia"/>
        </w:rPr>
        <w:t>3）</w:t>
      </w:r>
      <w:r>
        <w:t>系统</w:t>
      </w:r>
      <w:r>
        <w:rPr>
          <w:rFonts w:hint="eastAsia"/>
        </w:rPr>
        <w:t>供热部分的保护控制应符合标准CJJ</w:t>
      </w:r>
      <w:r>
        <w:t xml:space="preserve"> </w:t>
      </w:r>
      <w:r>
        <w:rPr>
          <w:rFonts w:hint="eastAsia"/>
        </w:rPr>
        <w:t>88的相关规定。</w:t>
      </w:r>
    </w:p>
    <w:p>
      <w:pPr>
        <w:pStyle w:val="2"/>
        <w:spacing w:before="0" w:line="300" w:lineRule="auto"/>
        <w:ind w:firstLine="454" w:firstLineChars="200"/>
        <w:rPr>
          <w:rFonts w:ascii="黑体" w:hAnsi="黑体" w:eastAsia="黑体" w:cs="黑体"/>
          <w:bCs w:val="0"/>
          <w:sz w:val="21"/>
          <w:szCs w:val="21"/>
        </w:rPr>
      </w:pPr>
      <w:bookmarkStart w:id="52" w:name="_Toc27746901"/>
      <w:r>
        <w:rPr>
          <w:rFonts w:hint="eastAsia" w:ascii="黑体" w:hAnsi="黑体" w:eastAsia="黑体" w:cs="黑体"/>
          <w:bCs w:val="0"/>
          <w:sz w:val="21"/>
          <w:szCs w:val="21"/>
        </w:rPr>
        <w:t>8.2</w:t>
      </w:r>
      <w:r>
        <w:rPr>
          <w:rFonts w:ascii="黑体" w:hAnsi="黑体" w:eastAsia="黑体" w:cs="黑体"/>
          <w:bCs w:val="0"/>
          <w:sz w:val="21"/>
          <w:szCs w:val="21"/>
        </w:rPr>
        <w:t xml:space="preserve"> </w:t>
      </w:r>
      <w:r>
        <w:rPr>
          <w:rFonts w:hint="eastAsia" w:ascii="黑体" w:hAnsi="黑体" w:eastAsia="黑体" w:cs="黑体"/>
          <w:bCs w:val="0"/>
          <w:sz w:val="21"/>
          <w:szCs w:val="21"/>
        </w:rPr>
        <w:t>系统功能测试</w:t>
      </w:r>
      <w:bookmarkEnd w:id="52"/>
    </w:p>
    <w:p>
      <w:pPr>
        <w:pStyle w:val="79"/>
        <w:numPr>
          <w:ilvl w:val="3"/>
          <w:numId w:val="0"/>
        </w:numPr>
        <w:spacing w:line="300" w:lineRule="auto"/>
        <w:ind w:right="210" w:firstLine="420" w:firstLineChars="200"/>
        <w:rPr>
          <w:rFonts w:ascii="黑体" w:hAnsi="黑体" w:eastAsia="黑体"/>
        </w:rPr>
      </w:pPr>
      <w:r>
        <w:rPr>
          <w:rFonts w:hint="eastAsia" w:ascii="黑体" w:hAnsi="黑体" w:eastAsia="黑体"/>
        </w:rPr>
        <w:t>8.2.1监控</w:t>
      </w:r>
      <w:r>
        <w:rPr>
          <w:rFonts w:ascii="黑体" w:hAnsi="黑体" w:eastAsia="黑体"/>
        </w:rPr>
        <w:t>功能测试</w:t>
      </w:r>
    </w:p>
    <w:p>
      <w:pPr>
        <w:pStyle w:val="41"/>
        <w:spacing w:line="300" w:lineRule="auto"/>
        <w:ind w:firstLine="420"/>
      </w:pPr>
      <w:r>
        <w:rPr>
          <w:rFonts w:hint="eastAsia"/>
        </w:rPr>
        <w:t>1）能量管理系统与各子系统控制器的通讯应正常，各子系统的遥测量、遥信量传送应准确，实时性应符合设计要求。</w:t>
      </w:r>
    </w:p>
    <w:p>
      <w:pPr>
        <w:pStyle w:val="41"/>
        <w:spacing w:line="300" w:lineRule="auto"/>
        <w:ind w:firstLine="420"/>
      </w:pPr>
      <w:r>
        <w:rPr>
          <w:rFonts w:hint="eastAsia"/>
        </w:rPr>
        <w:t>2）各子系统应正确执行能量管理系统的遥控、遥调指令，性能指标应符合设计要求。</w:t>
      </w:r>
    </w:p>
    <w:p>
      <w:pPr>
        <w:pStyle w:val="79"/>
        <w:numPr>
          <w:ilvl w:val="3"/>
          <w:numId w:val="0"/>
        </w:numPr>
        <w:spacing w:line="300" w:lineRule="auto"/>
        <w:ind w:right="210" w:firstLine="420" w:firstLineChars="200"/>
        <w:rPr>
          <w:rFonts w:ascii="黑体" w:hAnsi="黑体" w:eastAsia="黑体"/>
        </w:rPr>
      </w:pPr>
      <w:r>
        <w:rPr>
          <w:rFonts w:hint="eastAsia" w:ascii="黑体" w:hAnsi="黑体" w:eastAsia="黑体"/>
        </w:rPr>
        <w:t>8.2.</w:t>
      </w:r>
      <w:r>
        <w:rPr>
          <w:rFonts w:ascii="黑体" w:hAnsi="黑体" w:eastAsia="黑体"/>
        </w:rPr>
        <w:t xml:space="preserve">2 </w:t>
      </w:r>
      <w:r>
        <w:rPr>
          <w:rFonts w:hint="eastAsia" w:ascii="黑体" w:hAnsi="黑体" w:eastAsia="黑体"/>
        </w:rPr>
        <w:t>运行控制功能测试</w:t>
      </w:r>
    </w:p>
    <w:p>
      <w:pPr>
        <w:pStyle w:val="41"/>
        <w:spacing w:line="300" w:lineRule="auto"/>
        <w:ind w:firstLine="420"/>
      </w:pPr>
      <w:r>
        <w:t>1</w:t>
      </w:r>
      <w:r>
        <w:rPr>
          <w:rFonts w:hint="eastAsia"/>
        </w:rPr>
        <w:t>）</w:t>
      </w:r>
      <w:r>
        <w:t>并网运行时，</w:t>
      </w:r>
      <w:r>
        <w:rPr>
          <w:rFonts w:hint="eastAsia"/>
        </w:rPr>
        <w:t>系统与外部电网、热网的能量交换应能根据上级机构指令信号进行调节，性能指标应符合设计要求。</w:t>
      </w:r>
    </w:p>
    <w:p>
      <w:pPr>
        <w:pStyle w:val="41"/>
        <w:spacing w:line="300" w:lineRule="auto"/>
        <w:ind w:firstLine="420"/>
      </w:pPr>
      <w:r>
        <w:t>2</w:t>
      </w:r>
      <w:r>
        <w:rPr>
          <w:rFonts w:hint="eastAsia"/>
        </w:rPr>
        <w:t>）系统具备</w:t>
      </w:r>
      <w:r>
        <w:t>独立运行</w:t>
      </w:r>
      <w:r>
        <w:rPr>
          <w:rFonts w:hint="eastAsia"/>
        </w:rPr>
        <w:t>功能</w:t>
      </w:r>
      <w:r>
        <w:t>时，</w:t>
      </w:r>
      <w:r>
        <w:rPr>
          <w:rFonts w:hint="eastAsia"/>
        </w:rPr>
        <w:t>系统应合理安排机组的开停机计划、储能单元充放功率、用能单元负荷调节，在满足功率平衡、备用要求、机组最小开机时间、机组最小出力等约束条件下，实现系统在独立运行模式下的平稳控制，性能指标应符合设计要求。</w:t>
      </w:r>
    </w:p>
    <w:p>
      <w:pPr>
        <w:pStyle w:val="41"/>
        <w:spacing w:line="300" w:lineRule="auto"/>
        <w:ind w:firstLine="420"/>
      </w:pPr>
      <w:r>
        <w:rPr>
          <w:rFonts w:hint="eastAsia"/>
        </w:rPr>
        <w:t>3）系统具备独立运行功能时，多能互补能源</w:t>
      </w:r>
      <w:r>
        <w:t>系统应</w:t>
      </w:r>
      <w:r>
        <w:rPr>
          <w:rFonts w:hint="eastAsia"/>
        </w:rPr>
        <w:t>能实现</w:t>
      </w:r>
      <w:r>
        <w:t>并网工作模式和离网工作模式之间的</w:t>
      </w:r>
      <w:r>
        <w:rPr>
          <w:rFonts w:hint="eastAsia"/>
        </w:rPr>
        <w:t>切换</w:t>
      </w:r>
      <w:r>
        <w:t>，</w:t>
      </w:r>
      <w:r>
        <w:rPr>
          <w:rFonts w:hint="eastAsia"/>
        </w:rPr>
        <w:t>切换时间不宜超过20</w:t>
      </w:r>
      <w:r>
        <w:t xml:space="preserve"> ms。</w:t>
      </w:r>
    </w:p>
    <w:p>
      <w:pPr>
        <w:pStyle w:val="79"/>
        <w:numPr>
          <w:ilvl w:val="3"/>
          <w:numId w:val="0"/>
        </w:numPr>
        <w:spacing w:line="300" w:lineRule="auto"/>
        <w:ind w:right="210" w:firstLine="420" w:firstLineChars="200"/>
        <w:rPr>
          <w:rFonts w:ascii="黑体" w:hAnsi="黑体" w:eastAsia="黑体"/>
        </w:rPr>
      </w:pPr>
      <w:r>
        <w:rPr>
          <w:rFonts w:hint="eastAsia" w:ascii="黑体" w:hAnsi="黑体" w:eastAsia="黑体"/>
        </w:rPr>
        <w:t>8.2.3 系统</w:t>
      </w:r>
      <w:r>
        <w:rPr>
          <w:rFonts w:ascii="黑体" w:hAnsi="黑体" w:eastAsia="黑体"/>
        </w:rPr>
        <w:t>调度功能测试</w:t>
      </w:r>
    </w:p>
    <w:p>
      <w:pPr>
        <w:pStyle w:val="41"/>
        <w:spacing w:line="300" w:lineRule="auto"/>
        <w:ind w:firstLine="420"/>
      </w:pPr>
      <w:r>
        <w:rPr>
          <w:rFonts w:hint="eastAsia"/>
        </w:rPr>
        <w:t>多能互补能源系统调度功能应能基于约束条件进行单/多目标优化，实现源-网-荷-储各节点间的协调控制，时间尺度宜分为日前调度、日内调度、实时控制，性能指标应符合设计要求。</w:t>
      </w:r>
    </w:p>
    <w:p>
      <w:pPr>
        <w:pStyle w:val="2"/>
        <w:spacing w:before="0" w:line="300" w:lineRule="auto"/>
        <w:ind w:firstLine="454" w:firstLineChars="200"/>
        <w:rPr>
          <w:rFonts w:ascii="黑体" w:hAnsi="黑体" w:eastAsia="黑体" w:cs="黑体"/>
          <w:bCs w:val="0"/>
          <w:sz w:val="21"/>
          <w:szCs w:val="21"/>
        </w:rPr>
      </w:pPr>
      <w:bookmarkStart w:id="53" w:name="_Toc27746902"/>
      <w:r>
        <w:rPr>
          <w:rFonts w:hint="eastAsia" w:ascii="黑体" w:hAnsi="黑体" w:eastAsia="黑体" w:cs="黑体"/>
          <w:bCs w:val="0"/>
          <w:sz w:val="21"/>
          <w:szCs w:val="21"/>
        </w:rPr>
        <w:t>8.3 系统供能品质检查</w:t>
      </w:r>
      <w:bookmarkEnd w:id="53"/>
    </w:p>
    <w:p>
      <w:pPr>
        <w:pStyle w:val="79"/>
        <w:numPr>
          <w:ilvl w:val="3"/>
          <w:numId w:val="0"/>
        </w:numPr>
        <w:spacing w:line="300" w:lineRule="auto"/>
        <w:ind w:right="210" w:firstLine="420" w:firstLineChars="200"/>
        <w:rPr>
          <w:rFonts w:ascii="黑体" w:hAnsi="黑体" w:eastAsia="黑体"/>
        </w:rPr>
      </w:pPr>
      <w:r>
        <w:rPr>
          <w:rFonts w:hint="eastAsia" w:ascii="黑体" w:hAnsi="黑体" w:eastAsia="黑体"/>
        </w:rPr>
        <w:t>8.3.1 电能质量测试</w:t>
      </w:r>
    </w:p>
    <w:p>
      <w:pPr>
        <w:pStyle w:val="41"/>
        <w:spacing w:line="300" w:lineRule="auto"/>
        <w:ind w:firstLine="420"/>
      </w:pPr>
      <w:r>
        <w:rPr>
          <w:rFonts w:hint="eastAsia"/>
        </w:rPr>
        <w:t>多能互补电源系统接入点的电能质量测试包括谐波、电压波动和闪变、三相电压不平衡、电压偏差和频率偏差测试，应符合标准GB/T 14549、GB/T 12326、GB/T 15543、GB/T 12325和 GB/T 15945的相关规定。</w:t>
      </w:r>
    </w:p>
    <w:p>
      <w:pPr>
        <w:pStyle w:val="79"/>
        <w:numPr>
          <w:ilvl w:val="3"/>
          <w:numId w:val="0"/>
        </w:numPr>
        <w:spacing w:line="300" w:lineRule="auto"/>
        <w:ind w:right="210" w:firstLine="420" w:firstLineChars="200"/>
        <w:rPr>
          <w:rFonts w:ascii="黑体" w:hAnsi="黑体" w:eastAsia="黑体"/>
        </w:rPr>
      </w:pPr>
      <w:r>
        <w:rPr>
          <w:rFonts w:hint="eastAsia" w:ascii="黑体" w:hAnsi="黑体" w:eastAsia="黑体"/>
        </w:rPr>
        <w:t>8.3.2 供热、供冷质量测试</w:t>
      </w:r>
    </w:p>
    <w:p>
      <w:pPr>
        <w:pStyle w:val="41"/>
        <w:spacing w:line="300" w:lineRule="auto"/>
        <w:ind w:firstLine="420"/>
      </w:pPr>
      <w:r>
        <w:rPr>
          <w:rFonts w:hint="eastAsia"/>
        </w:rPr>
        <w:t>1）多能互补冷热源系统的最大制热量、最大制冷量应符合设计要求。</w:t>
      </w:r>
    </w:p>
    <w:p>
      <w:pPr>
        <w:pStyle w:val="41"/>
        <w:spacing w:line="300" w:lineRule="auto"/>
        <w:ind w:firstLine="420"/>
      </w:pPr>
      <w:r>
        <w:rPr>
          <w:rFonts w:hint="eastAsia"/>
        </w:rPr>
        <w:t>2）多能互补冷热源系统的小时供热量、供冷量偏差应不大于10%。</w:t>
      </w:r>
    </w:p>
    <w:p>
      <w:pPr>
        <w:pStyle w:val="2"/>
        <w:rPr>
          <w:rFonts w:ascii="黑体" w:hAnsi="黑体" w:eastAsia="黑体"/>
        </w:rPr>
      </w:pPr>
      <w:bookmarkStart w:id="54" w:name="_Toc27746903"/>
      <w:r>
        <w:rPr>
          <w:rFonts w:hint="eastAsia" w:ascii="黑体" w:hAnsi="黑体" w:eastAsia="黑体"/>
        </w:rPr>
        <w:t>9</w:t>
      </w:r>
      <w:r>
        <w:rPr>
          <w:rFonts w:ascii="黑体" w:hAnsi="黑体" w:eastAsia="黑体"/>
        </w:rPr>
        <w:t xml:space="preserve">  </w:t>
      </w:r>
      <w:r>
        <w:rPr>
          <w:rFonts w:hint="eastAsia" w:ascii="黑体" w:hAnsi="黑体" w:eastAsia="黑体"/>
        </w:rPr>
        <w:t>验收报告</w:t>
      </w:r>
      <w:bookmarkEnd w:id="54"/>
    </w:p>
    <w:p>
      <w:pPr>
        <w:pStyle w:val="41"/>
        <w:spacing w:line="300" w:lineRule="auto"/>
        <w:ind w:firstLine="420"/>
      </w:pPr>
      <w:r>
        <w:rPr>
          <w:rFonts w:hint="eastAsia"/>
        </w:rPr>
        <w:t>现场验收测试完成后，应签发符合本标准附录A要求的验收报告，主要包括以下内容：</w:t>
      </w:r>
    </w:p>
    <w:p>
      <w:pPr>
        <w:pStyle w:val="41"/>
        <w:numPr>
          <w:ilvl w:val="0"/>
          <w:numId w:val="25"/>
        </w:numPr>
        <w:spacing w:line="300" w:lineRule="auto"/>
        <w:ind w:firstLineChars="0"/>
      </w:pPr>
      <w:r>
        <w:rPr>
          <w:rFonts w:hint="eastAsia"/>
        </w:rPr>
        <w:t>项目基本信息</w:t>
      </w:r>
      <w:r>
        <w:t>；</w:t>
      </w:r>
    </w:p>
    <w:p>
      <w:pPr>
        <w:pStyle w:val="41"/>
        <w:numPr>
          <w:ilvl w:val="0"/>
          <w:numId w:val="25"/>
        </w:numPr>
        <w:spacing w:line="300" w:lineRule="auto"/>
        <w:ind w:firstLineChars="0"/>
      </w:pPr>
      <w:r>
        <w:rPr>
          <w:rFonts w:hint="eastAsia"/>
        </w:rPr>
        <w:t>现场检查测试项目结果汇总；</w:t>
      </w:r>
    </w:p>
    <w:p>
      <w:pPr>
        <w:pStyle w:val="41"/>
        <w:numPr>
          <w:ilvl w:val="0"/>
          <w:numId w:val="25"/>
        </w:numPr>
        <w:spacing w:line="300" w:lineRule="auto"/>
        <w:ind w:firstLineChars="0"/>
      </w:pPr>
      <w:r>
        <w:rPr>
          <w:rFonts w:hint="eastAsia"/>
        </w:rPr>
        <w:t>工程质量鉴定；</w:t>
      </w:r>
    </w:p>
    <w:p>
      <w:pPr>
        <w:pStyle w:val="41"/>
        <w:numPr>
          <w:ilvl w:val="0"/>
          <w:numId w:val="25"/>
        </w:numPr>
        <w:spacing w:line="300" w:lineRule="auto"/>
        <w:ind w:firstLineChars="0"/>
      </w:pPr>
      <w:r>
        <w:rPr>
          <w:rFonts w:hint="eastAsia"/>
        </w:rPr>
        <w:t>存在的问题和处理意见</w:t>
      </w:r>
      <w:r>
        <w:t>；</w:t>
      </w:r>
    </w:p>
    <w:p>
      <w:pPr>
        <w:pStyle w:val="41"/>
        <w:numPr>
          <w:ilvl w:val="0"/>
          <w:numId w:val="25"/>
        </w:numPr>
        <w:spacing w:line="300" w:lineRule="auto"/>
        <w:ind w:firstLineChars="0"/>
      </w:pPr>
      <w:r>
        <w:rPr>
          <w:rFonts w:hint="eastAsia"/>
        </w:rPr>
        <w:t>验收结论；</w:t>
      </w:r>
    </w:p>
    <w:p>
      <w:pPr>
        <w:pStyle w:val="41"/>
        <w:numPr>
          <w:ilvl w:val="0"/>
          <w:numId w:val="25"/>
        </w:numPr>
        <w:spacing w:line="300" w:lineRule="auto"/>
        <w:ind w:firstLineChars="0"/>
      </w:pPr>
      <w:r>
        <w:rPr>
          <w:rFonts w:hint="eastAsia"/>
        </w:rPr>
        <w:t>验收主持单位、验收时间及地点。</w:t>
      </w:r>
    </w:p>
    <w:p>
      <w:pPr>
        <w:pStyle w:val="41"/>
        <w:spacing w:line="300" w:lineRule="auto"/>
        <w:ind w:left="420" w:firstLine="0" w:firstLineChars="0"/>
      </w:pPr>
    </w:p>
    <w:p>
      <w:pPr>
        <w:pStyle w:val="2"/>
        <w:rPr>
          <w:rFonts w:ascii="黑体" w:hAnsi="黑体" w:eastAsia="黑体"/>
        </w:rPr>
      </w:pPr>
      <w:bookmarkStart w:id="55" w:name="_Toc27746904"/>
      <w:r>
        <w:rPr>
          <w:rFonts w:hint="eastAsia" w:ascii="黑体" w:hAnsi="黑体" w:eastAsia="黑体"/>
        </w:rPr>
        <w:t>10</w:t>
      </w:r>
      <w:r>
        <w:rPr>
          <w:rFonts w:ascii="黑体" w:hAnsi="黑体" w:eastAsia="黑体"/>
        </w:rPr>
        <w:t xml:space="preserve">  </w:t>
      </w:r>
      <w:r>
        <w:rPr>
          <w:rFonts w:hint="eastAsia" w:ascii="黑体" w:hAnsi="黑体" w:eastAsia="黑体"/>
        </w:rPr>
        <w:t>附录A</w:t>
      </w:r>
      <w:bookmarkEnd w:id="55"/>
    </w:p>
    <w:p>
      <w:pPr>
        <w:pStyle w:val="41"/>
        <w:spacing w:line="300" w:lineRule="auto"/>
        <w:ind w:firstLine="0" w:firstLineChars="0"/>
      </w:pPr>
    </w:p>
    <w:p>
      <w:pPr>
        <w:pStyle w:val="41"/>
        <w:spacing w:line="300" w:lineRule="auto"/>
        <w:ind w:firstLine="0" w:firstLineChars="0"/>
      </w:pPr>
      <w:r>
        <w:br w:type="page"/>
      </w:r>
    </w:p>
    <w:p>
      <w:pPr>
        <w:pStyle w:val="41"/>
        <w:spacing w:line="300" w:lineRule="auto"/>
        <w:ind w:firstLine="0" w:firstLineChars="0"/>
        <w:rPr>
          <w:sz w:val="28"/>
          <w:szCs w:val="28"/>
        </w:rPr>
      </w:pPr>
    </w:p>
    <w:p>
      <w:pPr>
        <w:pStyle w:val="41"/>
        <w:spacing w:line="300" w:lineRule="auto"/>
        <w:ind w:left="420" w:firstLine="0" w:firstLineChars="0"/>
        <w:jc w:val="center"/>
        <w:rPr>
          <w:sz w:val="28"/>
          <w:szCs w:val="28"/>
        </w:rPr>
      </w:pPr>
      <w:r>
        <w:rPr>
          <w:rFonts w:hint="eastAsia"/>
          <w:sz w:val="28"/>
          <w:szCs w:val="28"/>
        </w:rPr>
        <w:t>附录A</w:t>
      </w:r>
      <w:r>
        <w:rPr>
          <w:sz w:val="28"/>
          <w:szCs w:val="28"/>
        </w:rPr>
        <w:t xml:space="preserve"> </w:t>
      </w:r>
      <w:r>
        <w:rPr>
          <w:rFonts w:hint="eastAsia"/>
          <w:sz w:val="28"/>
          <w:szCs w:val="28"/>
        </w:rPr>
        <w:t>验收报告</w:t>
      </w:r>
    </w:p>
    <w:p>
      <w:pPr>
        <w:pStyle w:val="41"/>
        <w:spacing w:line="300" w:lineRule="auto"/>
        <w:ind w:left="420" w:firstLine="0" w:firstLineChars="0"/>
        <w:jc w:val="center"/>
      </w:pPr>
    </w:p>
    <w:tbl>
      <w:tblPr>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2"/>
      </w:tblGrid>
      <w:tr>
        <w:trPr>
          <w:jc w:val="center"/>
        </w:trPr>
        <w:tc>
          <w:tcPr>
            <w:tcW w:w="9202" w:type="dxa"/>
            <w:vAlign w:val="top"/>
          </w:tcPr>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rPr>
                <w:b/>
              </w:rPr>
            </w:pPr>
          </w:p>
          <w:p>
            <w:pPr>
              <w:pStyle w:val="41"/>
              <w:spacing w:line="300" w:lineRule="auto"/>
              <w:ind w:firstLine="0" w:firstLineChars="0"/>
              <w:rPr>
                <w:b/>
              </w:rPr>
            </w:pPr>
          </w:p>
          <w:p>
            <w:pPr>
              <w:pStyle w:val="41"/>
              <w:spacing w:line="300" w:lineRule="auto"/>
              <w:ind w:firstLine="0" w:firstLineChars="0"/>
              <w:rPr>
                <w:b/>
              </w:rPr>
            </w:pPr>
          </w:p>
          <w:p>
            <w:pPr>
              <w:pStyle w:val="41"/>
              <w:spacing w:line="300" w:lineRule="auto"/>
              <w:ind w:firstLine="0" w:firstLineChars="0"/>
              <w:jc w:val="center"/>
              <w:rPr>
                <w:rFonts w:ascii="宋体" w:hAnsi="宋体"/>
                <w:b/>
                <w:sz w:val="52"/>
                <w:szCs w:val="52"/>
              </w:rPr>
            </w:pPr>
            <w:r>
              <w:rPr>
                <w:rFonts w:hint="eastAsia" w:ascii="宋体" w:hAnsi="宋体"/>
                <w:b/>
                <w:sz w:val="52"/>
                <w:szCs w:val="52"/>
              </w:rPr>
              <w:t>×××× 验收报告</w:t>
            </w:r>
          </w:p>
          <w:p>
            <w:pPr>
              <w:pStyle w:val="41"/>
              <w:spacing w:line="300" w:lineRule="auto"/>
              <w:ind w:firstLine="0" w:firstLineChars="0"/>
              <w:rPr>
                <w:rFonts w:ascii="宋体" w:hAnsi="宋体"/>
                <w:sz w:val="44"/>
                <w:szCs w:val="44"/>
              </w:rPr>
            </w:pPr>
          </w:p>
          <w:p>
            <w:pPr>
              <w:pStyle w:val="41"/>
              <w:spacing w:line="300" w:lineRule="auto"/>
              <w:ind w:firstLine="0" w:firstLineChars="0"/>
              <w:jc w:val="center"/>
              <w:rPr>
                <w:sz w:val="28"/>
                <w:szCs w:val="28"/>
              </w:rPr>
            </w:pPr>
            <w:r>
              <w:rPr>
                <w:rFonts w:hint="eastAsia" w:ascii="宋体" w:hAnsi="宋体"/>
                <w:sz w:val="28"/>
                <w:szCs w:val="28"/>
              </w:rPr>
              <w:t>报告编号：********</w:t>
            </w:r>
          </w:p>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jc w:val="center"/>
              <w:rPr>
                <w:rFonts w:ascii="宋体" w:hAnsi="宋体"/>
                <w:sz w:val="28"/>
                <w:szCs w:val="28"/>
              </w:rPr>
            </w:pPr>
          </w:p>
          <w:p>
            <w:pPr>
              <w:pStyle w:val="41"/>
              <w:spacing w:line="300" w:lineRule="auto"/>
              <w:ind w:firstLine="0" w:firstLineChars="0"/>
              <w:jc w:val="center"/>
              <w:rPr>
                <w:b/>
                <w:sz w:val="30"/>
                <w:szCs w:val="30"/>
              </w:rPr>
            </w:pPr>
            <w:r>
              <w:rPr>
                <w:rFonts w:hint="eastAsia" w:ascii="宋体" w:hAnsi="宋体"/>
                <w:b/>
                <w:sz w:val="30"/>
                <w:szCs w:val="30"/>
              </w:rPr>
              <w:t>报告日期： ×</w:t>
            </w:r>
            <w:r>
              <w:rPr>
                <w:rFonts w:ascii="宋体" w:hAnsi="宋体"/>
                <w:b/>
                <w:sz w:val="30"/>
                <w:szCs w:val="30"/>
              </w:rPr>
              <w:t xml:space="preserve"> </w:t>
            </w:r>
            <w:r>
              <w:rPr>
                <w:rFonts w:hint="eastAsia" w:ascii="宋体" w:hAnsi="宋体"/>
                <w:b/>
                <w:sz w:val="30"/>
                <w:szCs w:val="30"/>
              </w:rPr>
              <w:t xml:space="preserve">年 </w:t>
            </w:r>
            <w:r>
              <w:rPr>
                <w:rFonts w:ascii="宋体" w:hAnsi="宋体"/>
                <w:b/>
                <w:sz w:val="30"/>
                <w:szCs w:val="30"/>
              </w:rPr>
              <w:t xml:space="preserve"> </w:t>
            </w:r>
            <w:r>
              <w:rPr>
                <w:rFonts w:hint="eastAsia" w:ascii="宋体" w:hAnsi="宋体"/>
                <w:b/>
                <w:sz w:val="30"/>
                <w:szCs w:val="30"/>
              </w:rPr>
              <w:t>×</w:t>
            </w:r>
            <w:r>
              <w:rPr>
                <w:rFonts w:ascii="宋体" w:hAnsi="宋体"/>
                <w:b/>
                <w:sz w:val="30"/>
                <w:szCs w:val="30"/>
              </w:rPr>
              <w:t xml:space="preserve"> </w:t>
            </w:r>
            <w:r>
              <w:rPr>
                <w:rFonts w:hint="eastAsia" w:ascii="宋体" w:hAnsi="宋体"/>
                <w:b/>
                <w:sz w:val="30"/>
                <w:szCs w:val="30"/>
              </w:rPr>
              <w:t>月 ×</w:t>
            </w:r>
            <w:r>
              <w:rPr>
                <w:rFonts w:ascii="宋体" w:hAnsi="宋体"/>
                <w:b/>
                <w:sz w:val="30"/>
                <w:szCs w:val="30"/>
              </w:rPr>
              <w:t xml:space="preserve">  </w:t>
            </w:r>
            <w:r>
              <w:rPr>
                <w:rFonts w:hint="eastAsia" w:ascii="宋体" w:hAnsi="宋体"/>
                <w:b/>
                <w:sz w:val="30"/>
                <w:szCs w:val="30"/>
              </w:rPr>
              <w:t>日</w:t>
            </w:r>
          </w:p>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pPr>
          </w:p>
        </w:tc>
      </w:tr>
    </w:tbl>
    <w:p>
      <w:pPr>
        <w:pStyle w:val="41"/>
        <w:spacing w:line="300" w:lineRule="auto"/>
        <w:ind w:left="420" w:firstLine="0" w:firstLineChars="0"/>
      </w:pPr>
      <w:r>
        <w:br w:type="page"/>
      </w:r>
    </w:p>
    <w:tbl>
      <w:tblPr>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2"/>
      </w:tblGrid>
      <w:tr>
        <w:trPr>
          <w:jc w:val="center"/>
        </w:trPr>
        <w:tc>
          <w:tcPr>
            <w:tcW w:w="9202" w:type="dxa"/>
            <w:vAlign w:val="top"/>
          </w:tcPr>
          <w:p>
            <w:pPr>
              <w:pStyle w:val="41"/>
              <w:spacing w:line="300" w:lineRule="auto"/>
              <w:ind w:firstLine="0" w:firstLineChars="0"/>
              <w:rPr>
                <w:rFonts w:ascii="宋体" w:hAnsi="宋体"/>
                <w:b/>
                <w:sz w:val="30"/>
                <w:szCs w:val="30"/>
              </w:rPr>
            </w:pPr>
            <w:r>
              <w:rPr>
                <w:rFonts w:hint="eastAsia"/>
                <w:sz w:val="28"/>
                <w:szCs w:val="28"/>
              </w:rPr>
              <w:t>验收主持单位：</w:t>
            </w:r>
            <w:r>
              <w:rPr>
                <w:rFonts w:hint="eastAsia" w:ascii="宋体" w:hAnsi="宋体"/>
                <w:b/>
                <w:sz w:val="30"/>
                <w:szCs w:val="30"/>
              </w:rPr>
              <w:t>××</w:t>
            </w:r>
          </w:p>
          <w:p>
            <w:pPr>
              <w:pStyle w:val="41"/>
              <w:spacing w:line="300" w:lineRule="auto"/>
              <w:ind w:firstLine="0" w:firstLineChars="0"/>
              <w:rPr>
                <w:sz w:val="28"/>
                <w:szCs w:val="28"/>
              </w:rPr>
            </w:pPr>
          </w:p>
          <w:p>
            <w:pPr>
              <w:pStyle w:val="41"/>
              <w:spacing w:line="300" w:lineRule="auto"/>
              <w:ind w:firstLine="0" w:firstLineChars="0"/>
              <w:rPr>
                <w:sz w:val="28"/>
                <w:szCs w:val="28"/>
              </w:rPr>
            </w:pPr>
          </w:p>
          <w:p>
            <w:pPr>
              <w:pStyle w:val="41"/>
              <w:spacing w:line="300" w:lineRule="auto"/>
              <w:ind w:firstLine="0" w:firstLineChars="0"/>
              <w:rPr>
                <w:rFonts w:ascii="宋体" w:hAnsi="宋体"/>
                <w:b/>
                <w:sz w:val="30"/>
                <w:szCs w:val="30"/>
              </w:rPr>
            </w:pPr>
            <w:r>
              <w:rPr>
                <w:rFonts w:hint="eastAsia"/>
                <w:sz w:val="28"/>
                <w:szCs w:val="28"/>
              </w:rPr>
              <w:t>设计单位：</w:t>
            </w:r>
            <w:r>
              <w:rPr>
                <w:rFonts w:hint="eastAsia" w:ascii="宋体" w:hAnsi="宋体"/>
                <w:b/>
                <w:sz w:val="30"/>
                <w:szCs w:val="30"/>
              </w:rPr>
              <w:t>××</w:t>
            </w:r>
          </w:p>
          <w:p>
            <w:pPr>
              <w:pStyle w:val="41"/>
              <w:spacing w:line="300" w:lineRule="auto"/>
              <w:ind w:firstLine="0" w:firstLineChars="0"/>
              <w:rPr>
                <w:sz w:val="28"/>
                <w:szCs w:val="28"/>
              </w:rPr>
            </w:pPr>
          </w:p>
          <w:p>
            <w:pPr>
              <w:pStyle w:val="41"/>
              <w:spacing w:line="300" w:lineRule="auto"/>
              <w:ind w:firstLine="0" w:firstLineChars="0"/>
              <w:rPr>
                <w:sz w:val="28"/>
                <w:szCs w:val="28"/>
              </w:rPr>
            </w:pPr>
          </w:p>
          <w:p>
            <w:pPr>
              <w:pStyle w:val="41"/>
              <w:spacing w:line="300" w:lineRule="auto"/>
              <w:ind w:firstLine="0" w:firstLineChars="0"/>
              <w:rPr>
                <w:rFonts w:ascii="宋体" w:hAnsi="宋体"/>
                <w:b/>
                <w:sz w:val="30"/>
                <w:szCs w:val="30"/>
              </w:rPr>
            </w:pPr>
            <w:r>
              <w:rPr>
                <w:rFonts w:hint="eastAsia"/>
                <w:sz w:val="28"/>
                <w:szCs w:val="28"/>
              </w:rPr>
              <w:t>建设单位：</w:t>
            </w:r>
            <w:r>
              <w:rPr>
                <w:rFonts w:hint="eastAsia" w:ascii="宋体" w:hAnsi="宋体"/>
                <w:b/>
                <w:sz w:val="30"/>
                <w:szCs w:val="30"/>
              </w:rPr>
              <w:t>××</w:t>
            </w:r>
          </w:p>
          <w:p>
            <w:pPr>
              <w:pStyle w:val="41"/>
              <w:spacing w:line="300" w:lineRule="auto"/>
              <w:ind w:firstLine="0" w:firstLineChars="0"/>
              <w:rPr>
                <w:sz w:val="28"/>
                <w:szCs w:val="28"/>
              </w:rPr>
            </w:pPr>
          </w:p>
          <w:p>
            <w:pPr>
              <w:pStyle w:val="41"/>
              <w:spacing w:line="300" w:lineRule="auto"/>
              <w:ind w:firstLine="0" w:firstLineChars="0"/>
              <w:rPr>
                <w:sz w:val="28"/>
                <w:szCs w:val="28"/>
              </w:rPr>
            </w:pPr>
          </w:p>
          <w:p>
            <w:pPr>
              <w:pStyle w:val="41"/>
              <w:spacing w:line="300" w:lineRule="auto"/>
              <w:ind w:firstLine="0" w:firstLineChars="0"/>
              <w:rPr>
                <w:rFonts w:ascii="宋体" w:hAnsi="宋体"/>
                <w:b/>
                <w:sz w:val="30"/>
                <w:szCs w:val="30"/>
              </w:rPr>
            </w:pPr>
            <w:r>
              <w:rPr>
                <w:rFonts w:hint="eastAsia"/>
                <w:sz w:val="28"/>
                <w:szCs w:val="28"/>
              </w:rPr>
              <w:t>监理单位：</w:t>
            </w:r>
            <w:r>
              <w:rPr>
                <w:rFonts w:hint="eastAsia" w:ascii="宋体" w:hAnsi="宋体"/>
                <w:b/>
                <w:sz w:val="30"/>
                <w:szCs w:val="30"/>
              </w:rPr>
              <w:t>××</w:t>
            </w:r>
          </w:p>
          <w:p>
            <w:pPr>
              <w:pStyle w:val="41"/>
              <w:spacing w:line="300" w:lineRule="auto"/>
              <w:ind w:firstLine="0" w:firstLineChars="0"/>
              <w:rPr>
                <w:sz w:val="28"/>
                <w:szCs w:val="28"/>
              </w:rPr>
            </w:pPr>
          </w:p>
          <w:p>
            <w:pPr>
              <w:pStyle w:val="41"/>
              <w:spacing w:line="300" w:lineRule="auto"/>
              <w:ind w:firstLine="0" w:firstLineChars="0"/>
              <w:rPr>
                <w:sz w:val="28"/>
                <w:szCs w:val="28"/>
              </w:rPr>
            </w:pPr>
          </w:p>
          <w:p>
            <w:pPr>
              <w:pStyle w:val="41"/>
              <w:spacing w:line="300" w:lineRule="auto"/>
              <w:ind w:firstLine="0" w:firstLineChars="0"/>
              <w:rPr>
                <w:rFonts w:ascii="宋体" w:hAnsi="宋体"/>
                <w:b/>
                <w:sz w:val="30"/>
                <w:szCs w:val="30"/>
              </w:rPr>
            </w:pPr>
            <w:r>
              <w:rPr>
                <w:rFonts w:hint="eastAsia"/>
                <w:sz w:val="28"/>
                <w:szCs w:val="28"/>
              </w:rPr>
              <w:t>施工单位：</w:t>
            </w:r>
            <w:r>
              <w:rPr>
                <w:rFonts w:hint="eastAsia" w:ascii="宋体" w:hAnsi="宋体"/>
                <w:b/>
                <w:sz w:val="30"/>
                <w:szCs w:val="30"/>
              </w:rPr>
              <w:t>××</w:t>
            </w:r>
          </w:p>
          <w:p>
            <w:pPr>
              <w:pStyle w:val="41"/>
              <w:spacing w:line="300" w:lineRule="auto"/>
              <w:ind w:firstLine="0" w:firstLineChars="0"/>
              <w:rPr>
                <w:sz w:val="28"/>
                <w:szCs w:val="28"/>
              </w:rPr>
            </w:pPr>
          </w:p>
          <w:p>
            <w:pPr>
              <w:pStyle w:val="41"/>
              <w:spacing w:line="300" w:lineRule="auto"/>
              <w:ind w:firstLine="0" w:firstLineChars="0"/>
              <w:rPr>
                <w:sz w:val="28"/>
                <w:szCs w:val="28"/>
              </w:rPr>
            </w:pPr>
          </w:p>
          <w:p>
            <w:pPr>
              <w:pStyle w:val="41"/>
              <w:spacing w:line="300" w:lineRule="auto"/>
              <w:ind w:firstLine="0" w:firstLineChars="0"/>
              <w:rPr>
                <w:rFonts w:ascii="宋体" w:hAnsi="宋体"/>
                <w:b/>
                <w:sz w:val="30"/>
                <w:szCs w:val="30"/>
              </w:rPr>
            </w:pPr>
            <w:r>
              <w:rPr>
                <w:rFonts w:hint="eastAsia"/>
                <w:sz w:val="28"/>
                <w:szCs w:val="28"/>
              </w:rPr>
              <w:t>主要设备制造单位：</w:t>
            </w:r>
            <w:r>
              <w:rPr>
                <w:rFonts w:hint="eastAsia" w:ascii="宋体" w:hAnsi="宋体"/>
                <w:b/>
                <w:sz w:val="30"/>
                <w:szCs w:val="30"/>
              </w:rPr>
              <w:t>××</w:t>
            </w:r>
          </w:p>
          <w:p>
            <w:pPr>
              <w:pStyle w:val="41"/>
              <w:spacing w:line="300" w:lineRule="auto"/>
              <w:ind w:firstLine="0" w:firstLineChars="0"/>
              <w:rPr>
                <w:sz w:val="28"/>
                <w:szCs w:val="28"/>
              </w:rPr>
            </w:pPr>
          </w:p>
          <w:p>
            <w:pPr>
              <w:pStyle w:val="41"/>
              <w:spacing w:line="300" w:lineRule="auto"/>
              <w:ind w:firstLine="0" w:firstLineChars="0"/>
              <w:rPr>
                <w:sz w:val="28"/>
                <w:szCs w:val="28"/>
              </w:rPr>
            </w:pPr>
          </w:p>
          <w:p>
            <w:pPr>
              <w:pStyle w:val="41"/>
              <w:spacing w:line="300" w:lineRule="auto"/>
              <w:ind w:firstLine="0" w:firstLineChars="0"/>
              <w:rPr>
                <w:rFonts w:ascii="宋体" w:hAnsi="宋体"/>
                <w:b/>
                <w:sz w:val="30"/>
                <w:szCs w:val="30"/>
              </w:rPr>
            </w:pPr>
            <w:r>
              <w:rPr>
                <w:rFonts w:hint="eastAsia"/>
                <w:sz w:val="28"/>
                <w:szCs w:val="28"/>
              </w:rPr>
              <w:t>质量和安全监督机构：</w:t>
            </w:r>
            <w:r>
              <w:rPr>
                <w:rFonts w:hint="eastAsia" w:ascii="宋体" w:hAnsi="宋体"/>
                <w:b/>
                <w:sz w:val="30"/>
                <w:szCs w:val="30"/>
              </w:rPr>
              <w:t>××</w:t>
            </w:r>
          </w:p>
          <w:p>
            <w:pPr>
              <w:pStyle w:val="41"/>
              <w:spacing w:line="300" w:lineRule="auto"/>
              <w:ind w:firstLine="0" w:firstLineChars="0"/>
              <w:rPr>
                <w:sz w:val="28"/>
                <w:szCs w:val="28"/>
              </w:rPr>
            </w:pPr>
          </w:p>
          <w:p>
            <w:pPr>
              <w:pStyle w:val="41"/>
              <w:spacing w:line="300" w:lineRule="auto"/>
              <w:ind w:firstLine="0" w:firstLineChars="0"/>
              <w:rPr>
                <w:rFonts w:ascii="宋体" w:hAnsi="宋体"/>
                <w:b/>
                <w:sz w:val="30"/>
                <w:szCs w:val="30"/>
              </w:rPr>
            </w:pPr>
            <w:r>
              <w:rPr>
                <w:rFonts w:hint="eastAsia"/>
                <w:sz w:val="28"/>
                <w:szCs w:val="28"/>
              </w:rPr>
              <w:t>验收时间：</w:t>
            </w:r>
            <w:r>
              <w:rPr>
                <w:rFonts w:hint="eastAsia" w:ascii="宋体" w:hAnsi="宋体"/>
                <w:b/>
                <w:sz w:val="30"/>
                <w:szCs w:val="30"/>
              </w:rPr>
              <w:t>××</w:t>
            </w:r>
          </w:p>
          <w:p>
            <w:pPr>
              <w:pStyle w:val="41"/>
              <w:spacing w:line="300" w:lineRule="auto"/>
              <w:ind w:firstLine="0" w:firstLineChars="0"/>
              <w:rPr>
                <w:sz w:val="28"/>
                <w:szCs w:val="28"/>
              </w:rPr>
            </w:pPr>
          </w:p>
          <w:p>
            <w:pPr>
              <w:pStyle w:val="41"/>
              <w:spacing w:line="300" w:lineRule="auto"/>
              <w:ind w:firstLine="0" w:firstLineChars="0"/>
              <w:rPr>
                <w:rFonts w:ascii="宋体" w:hAnsi="宋体"/>
                <w:b/>
                <w:sz w:val="30"/>
                <w:szCs w:val="30"/>
              </w:rPr>
            </w:pPr>
            <w:r>
              <w:rPr>
                <w:rFonts w:hint="eastAsia"/>
                <w:sz w:val="28"/>
                <w:szCs w:val="28"/>
              </w:rPr>
              <w:t>验收地点：</w:t>
            </w:r>
            <w:r>
              <w:rPr>
                <w:rFonts w:hint="eastAsia" w:ascii="宋体" w:hAnsi="宋体"/>
                <w:b/>
                <w:sz w:val="30"/>
                <w:szCs w:val="30"/>
              </w:rPr>
              <w:t>××</w:t>
            </w:r>
          </w:p>
        </w:tc>
      </w:tr>
      <w:tr>
        <w:trPr>
          <w:jc w:val="center"/>
        </w:trPr>
        <w:tc>
          <w:tcPr>
            <w:tcW w:w="9202" w:type="dxa"/>
            <w:vAlign w:val="top"/>
          </w:tcPr>
          <w:p>
            <w:pPr>
              <w:autoSpaceDE w:val="0"/>
              <w:autoSpaceDN w:val="0"/>
              <w:adjustRightInd w:val="0"/>
              <w:jc w:val="left"/>
              <w:rPr>
                <w:kern w:val="0"/>
                <w:sz w:val="28"/>
                <w:szCs w:val="28"/>
              </w:rPr>
            </w:pPr>
            <w:r>
              <w:rPr>
                <w:rFonts w:hint="eastAsia"/>
                <w:kern w:val="0"/>
                <w:sz w:val="28"/>
                <w:szCs w:val="28"/>
              </w:rPr>
              <w:t>前言（简述验收依据、验收组织结构和验收过程）</w:t>
            </w:r>
          </w:p>
          <w:p>
            <w:pPr>
              <w:pStyle w:val="93"/>
              <w:numPr>
                <w:ilvl w:val="0"/>
                <w:numId w:val="26"/>
              </w:numPr>
              <w:autoSpaceDE w:val="0"/>
              <w:autoSpaceDN w:val="0"/>
              <w:adjustRightInd w:val="0"/>
              <w:ind w:firstLineChars="0"/>
              <w:jc w:val="left"/>
              <w:rPr>
                <w:kern w:val="0"/>
                <w:sz w:val="28"/>
                <w:szCs w:val="28"/>
              </w:rPr>
            </w:pPr>
            <w:r>
              <w:rPr>
                <w:rFonts w:hint="eastAsia"/>
                <w:kern w:val="0"/>
                <w:sz w:val="28"/>
                <w:szCs w:val="28"/>
              </w:rPr>
              <w:t>项目基本信息</w:t>
            </w:r>
          </w:p>
          <w:p>
            <w:pPr>
              <w:pStyle w:val="41"/>
              <w:numPr>
                <w:ilvl w:val="0"/>
                <w:numId w:val="27"/>
              </w:numPr>
              <w:spacing w:line="300" w:lineRule="auto"/>
              <w:ind w:firstLineChars="0"/>
              <w:rPr>
                <w:sz w:val="28"/>
                <w:szCs w:val="28"/>
              </w:rPr>
            </w:pPr>
            <w:r>
              <w:rPr>
                <w:sz w:val="28"/>
                <w:szCs w:val="28"/>
              </w:rPr>
              <w:t>项目名称</w:t>
            </w:r>
            <w:r>
              <w:rPr>
                <w:rFonts w:hint="eastAsia"/>
                <w:sz w:val="28"/>
                <w:szCs w:val="28"/>
              </w:rPr>
              <w:t>及地址</w:t>
            </w:r>
            <w:r>
              <w:rPr>
                <w:sz w:val="28"/>
                <w:szCs w:val="28"/>
              </w:rPr>
              <w:t>；</w:t>
            </w:r>
          </w:p>
          <w:p>
            <w:pPr>
              <w:pStyle w:val="41"/>
              <w:numPr>
                <w:ilvl w:val="0"/>
                <w:numId w:val="27"/>
              </w:numPr>
              <w:spacing w:line="300" w:lineRule="auto"/>
              <w:ind w:firstLineChars="0"/>
              <w:rPr>
                <w:sz w:val="28"/>
                <w:szCs w:val="28"/>
              </w:rPr>
            </w:pPr>
            <w:r>
              <w:rPr>
                <w:rFonts w:hint="eastAsia"/>
                <w:sz w:val="28"/>
                <w:szCs w:val="28"/>
              </w:rPr>
              <w:t>项目安装容量及应用场景；</w:t>
            </w:r>
          </w:p>
          <w:p>
            <w:pPr>
              <w:pStyle w:val="41"/>
              <w:numPr>
                <w:ilvl w:val="0"/>
                <w:numId w:val="27"/>
              </w:numPr>
              <w:spacing w:line="300" w:lineRule="auto"/>
              <w:ind w:firstLineChars="0"/>
              <w:rPr>
                <w:sz w:val="28"/>
                <w:szCs w:val="28"/>
              </w:rPr>
            </w:pPr>
            <w:r>
              <w:rPr>
                <w:rFonts w:hint="eastAsia"/>
                <w:sz w:val="28"/>
                <w:szCs w:val="28"/>
              </w:rPr>
              <w:t>关键</w:t>
            </w:r>
            <w:r>
              <w:rPr>
                <w:sz w:val="28"/>
                <w:szCs w:val="28"/>
              </w:rPr>
              <w:t>设备的</w:t>
            </w:r>
            <w:r>
              <w:rPr>
                <w:rFonts w:hint="eastAsia"/>
                <w:sz w:val="28"/>
                <w:szCs w:val="28"/>
              </w:rPr>
              <w:t>制造商、规格</w:t>
            </w:r>
            <w:r>
              <w:rPr>
                <w:sz w:val="28"/>
                <w:szCs w:val="28"/>
              </w:rPr>
              <w:t>型号和数量；</w:t>
            </w:r>
          </w:p>
          <w:p>
            <w:pPr>
              <w:pStyle w:val="41"/>
              <w:numPr>
                <w:ilvl w:val="0"/>
                <w:numId w:val="27"/>
              </w:numPr>
              <w:spacing w:line="300" w:lineRule="auto"/>
              <w:ind w:firstLineChars="0"/>
              <w:rPr>
                <w:sz w:val="28"/>
                <w:szCs w:val="28"/>
              </w:rPr>
            </w:pPr>
            <w:r>
              <w:rPr>
                <w:rFonts w:hint="eastAsia"/>
                <w:sz w:val="28"/>
                <w:szCs w:val="28"/>
              </w:rPr>
              <w:t>项目主要建设内容；</w:t>
            </w:r>
          </w:p>
          <w:p>
            <w:pPr>
              <w:pStyle w:val="41"/>
              <w:numPr>
                <w:ilvl w:val="0"/>
                <w:numId w:val="27"/>
              </w:numPr>
              <w:spacing w:line="300" w:lineRule="auto"/>
              <w:ind w:firstLineChars="0"/>
              <w:rPr>
                <w:sz w:val="28"/>
                <w:szCs w:val="28"/>
              </w:rPr>
            </w:pPr>
            <w:r>
              <w:rPr>
                <w:rFonts w:hint="eastAsia"/>
                <w:sz w:val="28"/>
                <w:szCs w:val="28"/>
              </w:rPr>
              <w:t>项目建设过程情况；</w:t>
            </w:r>
          </w:p>
          <w:p>
            <w:pPr>
              <w:pStyle w:val="41"/>
              <w:numPr>
                <w:ilvl w:val="0"/>
                <w:numId w:val="27"/>
              </w:numPr>
              <w:spacing w:line="300" w:lineRule="auto"/>
              <w:ind w:firstLineChars="0"/>
              <w:rPr>
                <w:sz w:val="28"/>
                <w:szCs w:val="28"/>
              </w:rPr>
            </w:pPr>
            <w:r>
              <w:rPr>
                <w:rFonts w:hint="eastAsia"/>
                <w:sz w:val="28"/>
                <w:szCs w:val="28"/>
              </w:rPr>
              <w:t>建成及试运行日期。</w:t>
            </w:r>
          </w:p>
          <w:p>
            <w:pPr>
              <w:pStyle w:val="93"/>
              <w:numPr>
                <w:ilvl w:val="0"/>
                <w:numId w:val="26"/>
              </w:numPr>
              <w:autoSpaceDE w:val="0"/>
              <w:autoSpaceDN w:val="0"/>
              <w:adjustRightInd w:val="0"/>
              <w:ind w:firstLineChars="0"/>
              <w:jc w:val="left"/>
              <w:rPr>
                <w:kern w:val="0"/>
                <w:sz w:val="28"/>
                <w:szCs w:val="28"/>
              </w:rPr>
            </w:pPr>
            <w:r>
              <w:rPr>
                <w:rFonts w:hint="eastAsia"/>
                <w:kern w:val="0"/>
                <w:sz w:val="28"/>
                <w:szCs w:val="28"/>
              </w:rPr>
              <w:t>现场检查测试项目结果汇总</w:t>
            </w:r>
          </w:p>
          <w:p>
            <w:pPr>
              <w:pStyle w:val="93"/>
              <w:autoSpaceDE w:val="0"/>
              <w:autoSpaceDN w:val="0"/>
              <w:adjustRightInd w:val="0"/>
              <w:ind w:left="720" w:firstLine="0" w:firstLineChars="0"/>
              <w:jc w:val="left"/>
              <w:rPr>
                <w:kern w:val="0"/>
                <w:sz w:val="28"/>
                <w:szCs w:val="28"/>
              </w:rPr>
            </w:pPr>
          </w:p>
          <w:p>
            <w:pPr>
              <w:autoSpaceDE w:val="0"/>
              <w:autoSpaceDN w:val="0"/>
              <w:adjustRightInd w:val="0"/>
              <w:jc w:val="left"/>
              <w:rPr>
                <w:kern w:val="0"/>
                <w:sz w:val="28"/>
                <w:szCs w:val="28"/>
              </w:rPr>
            </w:pPr>
            <w:r>
              <w:rPr>
                <w:rFonts w:hint="eastAsia"/>
                <w:kern w:val="0"/>
                <w:sz w:val="28"/>
                <w:szCs w:val="28"/>
              </w:rPr>
              <w:t>三、工程质量鉴定</w:t>
            </w:r>
          </w:p>
          <w:p>
            <w:pPr>
              <w:autoSpaceDE w:val="0"/>
              <w:autoSpaceDN w:val="0"/>
              <w:adjustRightInd w:val="0"/>
              <w:jc w:val="left"/>
              <w:rPr>
                <w:kern w:val="0"/>
                <w:sz w:val="28"/>
                <w:szCs w:val="28"/>
              </w:rPr>
            </w:pPr>
          </w:p>
          <w:p>
            <w:pPr>
              <w:autoSpaceDE w:val="0"/>
              <w:autoSpaceDN w:val="0"/>
              <w:adjustRightInd w:val="0"/>
              <w:jc w:val="left"/>
              <w:rPr>
                <w:kern w:val="0"/>
                <w:sz w:val="28"/>
                <w:szCs w:val="28"/>
              </w:rPr>
            </w:pPr>
            <w:r>
              <w:rPr>
                <w:rFonts w:hint="eastAsia"/>
                <w:kern w:val="0"/>
                <w:sz w:val="28"/>
                <w:szCs w:val="28"/>
              </w:rPr>
              <w:t>四、存在问题和处理意见</w:t>
            </w:r>
          </w:p>
          <w:p>
            <w:pPr>
              <w:autoSpaceDE w:val="0"/>
              <w:autoSpaceDN w:val="0"/>
              <w:adjustRightInd w:val="0"/>
              <w:jc w:val="left"/>
              <w:rPr>
                <w:kern w:val="0"/>
                <w:sz w:val="28"/>
                <w:szCs w:val="28"/>
              </w:rPr>
            </w:pPr>
          </w:p>
          <w:p>
            <w:pPr>
              <w:autoSpaceDE w:val="0"/>
              <w:autoSpaceDN w:val="0"/>
              <w:adjustRightInd w:val="0"/>
              <w:jc w:val="left"/>
              <w:rPr>
                <w:kern w:val="0"/>
                <w:sz w:val="28"/>
                <w:szCs w:val="28"/>
              </w:rPr>
            </w:pPr>
            <w:r>
              <w:rPr>
                <w:rFonts w:hint="eastAsia"/>
                <w:kern w:val="0"/>
                <w:sz w:val="28"/>
                <w:szCs w:val="28"/>
              </w:rPr>
              <w:t>五、验收结论</w:t>
            </w:r>
          </w:p>
          <w:p>
            <w:pPr>
              <w:autoSpaceDE w:val="0"/>
              <w:autoSpaceDN w:val="0"/>
              <w:adjustRightInd w:val="0"/>
              <w:jc w:val="left"/>
              <w:rPr>
                <w:kern w:val="0"/>
                <w:sz w:val="28"/>
                <w:szCs w:val="28"/>
              </w:rPr>
            </w:pPr>
          </w:p>
          <w:p>
            <w:pPr>
              <w:autoSpaceDE w:val="0"/>
              <w:autoSpaceDN w:val="0"/>
              <w:adjustRightInd w:val="0"/>
              <w:jc w:val="left"/>
              <w:rPr>
                <w:kern w:val="0"/>
                <w:sz w:val="28"/>
                <w:szCs w:val="28"/>
              </w:rPr>
            </w:pPr>
            <w:r>
              <w:rPr>
                <w:rFonts w:hint="eastAsia"/>
                <w:kern w:val="0"/>
                <w:sz w:val="28"/>
                <w:szCs w:val="28"/>
              </w:rPr>
              <w:t>六、验收委员会委员签字</w:t>
            </w:r>
          </w:p>
          <w:p>
            <w:pPr>
              <w:autoSpaceDE w:val="0"/>
              <w:autoSpaceDN w:val="0"/>
              <w:adjustRightInd w:val="0"/>
              <w:jc w:val="left"/>
              <w:rPr>
                <w:kern w:val="0"/>
                <w:sz w:val="28"/>
                <w:szCs w:val="28"/>
              </w:rPr>
            </w:pPr>
          </w:p>
          <w:p>
            <w:pPr>
              <w:pStyle w:val="41"/>
              <w:spacing w:line="300" w:lineRule="auto"/>
              <w:ind w:firstLine="0" w:firstLineChars="0"/>
              <w:rPr>
                <w:sz w:val="28"/>
                <w:szCs w:val="28"/>
              </w:rPr>
            </w:pPr>
            <w:r>
              <w:rPr>
                <w:rFonts w:hint="eastAsia"/>
                <w:sz w:val="28"/>
                <w:szCs w:val="28"/>
              </w:rPr>
              <w:t>七、参建单位代表签字</w:t>
            </w:r>
          </w:p>
          <w:p>
            <w:pPr>
              <w:pStyle w:val="41"/>
              <w:spacing w:line="300" w:lineRule="auto"/>
              <w:ind w:firstLine="0" w:firstLineChars="0"/>
            </w:pPr>
          </w:p>
          <w:p>
            <w:pPr>
              <w:pStyle w:val="41"/>
              <w:spacing w:line="300" w:lineRule="auto"/>
              <w:ind w:firstLine="0" w:firstLineChars="0"/>
            </w:pPr>
          </w:p>
          <w:p>
            <w:pPr>
              <w:pStyle w:val="41"/>
              <w:spacing w:line="300" w:lineRule="auto"/>
              <w:ind w:firstLine="0" w:firstLineChars="0"/>
            </w:pPr>
            <w:bookmarkStart w:id="56" w:name="_GoBack"/>
            <w:bookmarkEnd w:id="56"/>
          </w:p>
          <w:p>
            <w:pPr>
              <w:pStyle w:val="41"/>
              <w:spacing w:line="300" w:lineRule="auto"/>
              <w:ind w:firstLine="0" w:firstLineChars="0"/>
            </w:pPr>
          </w:p>
        </w:tc>
      </w:tr>
    </w:tbl>
    <w:p>
      <w:pPr>
        <w:pStyle w:val="41"/>
        <w:spacing w:line="300" w:lineRule="auto"/>
        <w:ind w:firstLine="0" w:firstLineChars="0"/>
        <w:jc w:val="center"/>
      </w:pPr>
    </w:p>
    <w:sectPr>
      <w:headerReference r:id="rId8" w:type="default"/>
      <w:footerReference r:id="rId9" w:type="default"/>
      <w:pgSz w:w="11906" w:h="16838"/>
      <w:pgMar w:top="851" w:right="1134" w:bottom="851" w:left="1560" w:header="851" w:footer="992" w:gutter="0"/>
      <w:pgNumType w:start="1"/>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EFF" w:usb1="C000247B" w:usb2="00000009" w:usb3="00000000" w:csb0="200001FF" w:csb1="00000000"/>
  </w:font>
  <w:font w:name="TimesNewRomanPS-BoldMT">
    <w:altName w:val="Times New Roman"/>
    <w:panose1 w:val="00000000000000000000"/>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1"/>
    </w:pPr>
    <w:r>
      <w:rPr>
        <w:rFonts w:ascii="Times New Roman" w:hAnsi="Times New Roman" w:eastAsia="宋体" w:cs="Times New Roman"/>
        <w:kern w:val="2"/>
        <w:sz w:val="18"/>
        <w:szCs w:val="18"/>
        <w:lang w:val="en-US" w:eastAsia="zh-CN" w:bidi="ar-SA"/>
      </w:rPr>
      <w:pict>
        <v:rect id="文本框108" o:spid="_x0000_s1028" style="position:absolute;left:0;margin-top:0pt;height:12.05pt;width:3.5pt;mso-position-horizontal:center;mso-position-horizontal-relative:margin;mso-wrap-style:none;rotation:0f;z-index:251659264;"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I</w:t>
                </w:r>
                <w:r>
                  <w:rPr>
                    <w:rFonts w:hint="eastAsia"/>
                    <w:sz w:val="18"/>
                  </w:rPr>
                  <w:fldChar w:fldCharType="end"/>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1"/>
    </w:pPr>
    <w:r>
      <w:rPr>
        <w:rFonts w:ascii="Times New Roman" w:hAnsi="Times New Roman" w:eastAsia="宋体" w:cs="Times New Roman"/>
        <w:kern w:val="2"/>
        <w:sz w:val="18"/>
        <w:szCs w:val="18"/>
        <w:lang w:val="en-US" w:eastAsia="zh-CN" w:bidi="ar-SA"/>
      </w:rPr>
      <w:pict>
        <v:rect id="文本框109" o:spid="_x0000_s1029" style="position:absolute;left:0;margin-top:0pt;height:12.05pt;width:7pt;mso-position-horizontal:center;mso-position-horizontal-relative:margin;mso-wrap-style:none;rotation:0f;z-index:251660288;"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II</w:t>
                </w:r>
                <w:r>
                  <w:rPr>
                    <w:rFonts w:hint="eastAsia"/>
                    <w:sz w:val="18"/>
                  </w:rPr>
                  <w:fldChar w:fldCharType="end"/>
                </w:r>
              </w:p>
            </w:txbxContent>
          </v:textbox>
        </v:rect>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1"/>
      <w:ind w:right="540" w:firstLine="360"/>
      <w:jc w:val="right"/>
    </w:pPr>
    <w:r>
      <w:rPr>
        <w:rFonts w:ascii="Times New Roman" w:hAnsi="Times New Roman" w:eastAsia="宋体" w:cs="Times New Roman"/>
        <w:kern w:val="2"/>
        <w:sz w:val="18"/>
        <w:szCs w:val="18"/>
        <w:lang w:val="en-US" w:eastAsia="zh-CN" w:bidi="ar-SA"/>
      </w:rPr>
      <w:pict>
        <v:rect id="文本框6" o:spid="_x0000_s1030" style="position:absolute;left:0;margin-left:199.05pt;margin-top:-0.25pt;height:24.7pt;width:109.05pt;mso-position-horizontal-relative:margin;rotation:0f;z-index:251661312;" o:ole="f" fillcolor="#FFFFFF" filled="f" o:preferrelative="t" stroked="f" coordsize="21600,21600">
          <v:fill on="f" color2="#FFFFFF" focus="0%"/>
          <v:imagedata gain="65536f" blacklevel="0f" gamma="0"/>
          <o:lock v:ext="edit" position="f" selection="f" grouping="f" rotation="f" cropping="f" text="f" aspectratio="f"/>
          <v:textbox inset="0.00pt,0.00pt,0.00pt,0.00p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w:t>
                </w:r>
                <w:r>
                  <w:rPr>
                    <w:rFonts w:hint="eastAsia"/>
                    <w:sz w:val="18"/>
                  </w:rPr>
                  <w:fldChar w:fldCharType="end"/>
                </w:r>
                <w:r>
                  <w:rPr>
                    <w:rFonts w:hint="eastAsia"/>
                    <w:sz w:val="18"/>
                  </w:rPr>
                  <w:t xml:space="preserve"> 页 共 </w:t>
                </w:r>
                <w:r>
                  <w:rPr>
                    <w:sz w:val="18"/>
                  </w:rPr>
                  <w:t>13</w:t>
                </w:r>
                <w:r>
                  <w:rPr>
                    <w:rFonts w:hint="eastAsia"/>
                    <w:sz w:val="18"/>
                  </w:rPr>
                  <w:t>页</w:t>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4"/>
    </w:pPr>
    <w:r>
      <w:rPr>
        <w:rFonts w:hint="eastAsia"/>
      </w:rPr>
      <w:t>RBXXXX</w:t>
    </w:r>
    <w:r>
      <w:t>-2</w:t>
    </w:r>
    <w:r>
      <w:rPr>
        <w:rFonts w:hint="eastAsia"/>
      </w:rPr>
      <w:t>XXX</w:t>
    </w:r>
  </w:p>
  <w:p>
    <w:pPr>
      <w:pStyle w:val="22"/>
      <w:pBdr>
        <w:bottom w:val="none" w:color="auto" w:sz="0" w:space="0"/>
      </w:pBdr>
      <w:jc w:val="right"/>
      <w:rPr>
        <w:rFonts w:eastAsia="黑体"/>
        <w:bCs/>
        <w:sz w:val="21"/>
        <w:szCs w:val="21"/>
      </w:rPr>
    </w:pPr>
  </w:p>
  <w:p>
    <w:pPr>
      <w:pStyle w:val="34"/>
      <w:jc w:val="right"/>
    </w:pPr>
    <w:r>
      <w:rPr>
        <w:rFonts w:hint="eastAsia"/>
      </w:rPr>
      <w:t>CQC/XNY-0010：2012</w:t>
    </w:r>
    <w:r>
      <w:rPr>
        <w:rFonts w:eastAsia="黑体"/>
        <w:sz w:val="21"/>
      </w:rPr>
      <w:pict>
        <v:rect id="fmFrame8" o:spid="_x0000_s1027" style="position:absolute;left:0;margin-left:314.6pt;margin-top:-40.95pt;height:56.7pt;width:159.75pt;mso-position-horizontal-relative:margin;mso-position-vertical-relative:margin;rotation:0f;z-index:251658240;" o:ole="f" fillcolor="#FFFFFF" filled="t" o:preferrelative="t" stroked="f" coordsize="21600,21600">
          <v:imagedata gain="65536f" blacklevel="0f" gamma="0"/>
          <o:lock v:ext="edit" position="f" selection="f" grouping="f" rotation="f" cropping="f" text="f" aspectratio="f"/>
          <v:textbox inset="0.00pt,0.00pt,0.00pt,0.00pt">
            <w:txbxContent>
              <w:p>
                <w:pPr>
                  <w:pStyle w:val="33"/>
                </w:pPr>
                <w:r>
                  <w:rPr>
                    <w:rFonts w:hint="eastAsia"/>
                  </w:rPr>
                  <w:t>RB</w:t>
                </w:r>
              </w:p>
            </w:txbxContent>
          </v:textbox>
          <w10:anchorlock/>
        </v: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4"/>
      <w:jc w:val="right"/>
    </w:pPr>
    <w:r>
      <w:rPr>
        <w:rFonts w:hint="eastAsia"/>
      </w:rPr>
      <w:t>RB/T xxx-201x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2"/>
      <w:jc w:val="both"/>
    </w:pPr>
    <w:r>
      <w:rPr>
        <w:rFonts w:hint="eastAsia"/>
      </w:rPr>
      <w:t xml:space="preserve">                                                                                         RB/T xxx-201x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2">
    <w:nsid w:val="0000000C"/>
    <w:multiLevelType w:val="singleLevel"/>
    <w:tmpl w:val="0000000C"/>
    <w:lvl w:ilvl="0" w:tentative="1">
      <w:start w:val="1"/>
      <w:numFmt w:val="decimal"/>
      <w:suff w:val="nothing"/>
      <w:lvlText w:val="%1）"/>
      <w:lvlJc w:val="left"/>
    </w:lvl>
  </w:abstractNum>
  <w:abstractNum w:abstractNumId="13">
    <w:nsid w:val="0000000D"/>
    <w:multiLevelType w:val="multilevel"/>
    <w:tmpl w:val="0000000D"/>
    <w:lvl w:ilvl="0" w:tentative="1">
      <w:start w:val="1"/>
      <w:numFmt w:val="decimal"/>
      <w:suff w:val="nothing"/>
      <w:lvlText w:val="%1）"/>
      <w:lvlJc w:val="left"/>
      <w:pPr>
        <w:ind w:left="573" w:hanging="147"/>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0000000E"/>
    <w:multiLevelType w:val="multilevel"/>
    <w:tmpl w:val="0000000E"/>
    <w:lvl w:ilvl="0" w:tentative="1">
      <w:start w:val="1"/>
      <w:numFmt w:val="upperLetter"/>
      <w:suff w:val="nothing"/>
      <w:lvlText w:val="附　录　%1"/>
      <w:lvlJc w:val="left"/>
      <w:pPr>
        <w:ind w:left="0" w:firstLine="0"/>
      </w:pPr>
      <w:rPr>
        <w:rFonts w:hint="eastAsia" w:ascii="黑体" w:hAnsi="Times New Roman" w:eastAsia="黑体"/>
        <w:b w:val="0"/>
        <w:i w:val="0"/>
        <w:sz w:val="21"/>
      </w:rPr>
    </w:lvl>
    <w:lvl w:ilvl="1" w:tentative="1">
      <w:start w:val="1"/>
      <w:numFmt w:val="decimal"/>
      <w:pStyle w:val="51"/>
      <w:suff w:val="nothing"/>
      <w:lvlText w:val="%1.%2　"/>
      <w:lvlJc w:val="left"/>
      <w:pPr>
        <w:ind w:left="0" w:firstLine="0"/>
      </w:pPr>
      <w:rPr>
        <w:rFonts w:hint="eastAsia" w:ascii="黑体" w:hAnsi="Times New Roman" w:eastAsia="黑体"/>
        <w:b w:val="0"/>
        <w:i w:val="0"/>
        <w:spacing w:val="0"/>
        <w:w w:val="100"/>
        <w:kern w:val="21"/>
        <w:sz w:val="21"/>
      </w:rPr>
    </w:lvl>
    <w:lvl w:ilvl="2" w:tentative="1">
      <w:start w:val="1"/>
      <w:numFmt w:val="decimal"/>
      <w:pStyle w:val="48"/>
      <w:suff w:val="nothing"/>
      <w:lvlText w:val="%1.%2.%3　"/>
      <w:lvlJc w:val="left"/>
      <w:pPr>
        <w:ind w:left="0" w:firstLine="0"/>
      </w:pPr>
      <w:rPr>
        <w:rFonts w:hint="eastAsia" w:ascii="黑体" w:hAnsi="Times New Roman" w:eastAsia="黑体"/>
        <w:b w:val="0"/>
        <w:i w:val="0"/>
        <w:sz w:val="21"/>
      </w:rPr>
    </w:lvl>
    <w:lvl w:ilvl="3" w:tentative="1">
      <w:start w:val="1"/>
      <w:numFmt w:val="decimal"/>
      <w:pStyle w:val="77"/>
      <w:suff w:val="nothing"/>
      <w:lvlText w:val="%1.%2.%3.%4　"/>
      <w:lvlJc w:val="left"/>
      <w:pPr>
        <w:ind w:left="0" w:firstLine="0"/>
      </w:pPr>
      <w:rPr>
        <w:rFonts w:hint="eastAsia" w:ascii="黑体" w:hAnsi="Times New Roman" w:eastAsia="黑体"/>
        <w:b w:val="0"/>
        <w:i w:val="0"/>
        <w:sz w:val="21"/>
      </w:rPr>
    </w:lvl>
    <w:lvl w:ilvl="4" w:tentative="1">
      <w:start w:val="1"/>
      <w:numFmt w:val="decimal"/>
      <w:pStyle w:val="47"/>
      <w:suff w:val="nothing"/>
      <w:lvlText w:val="%1.%2.%3.%4.%5　"/>
      <w:lvlJc w:val="left"/>
      <w:pPr>
        <w:ind w:left="0" w:firstLine="0"/>
      </w:pPr>
      <w:rPr>
        <w:rFonts w:hint="eastAsia" w:ascii="黑体" w:hAnsi="Times New Roman" w:eastAsia="黑体"/>
        <w:b w:val="0"/>
        <w:i w:val="0"/>
        <w:sz w:val="21"/>
      </w:rPr>
    </w:lvl>
    <w:lvl w:ilvl="5" w:tentative="1">
      <w:start w:val="1"/>
      <w:numFmt w:val="decimal"/>
      <w:pStyle w:val="43"/>
      <w:suff w:val="nothing"/>
      <w:lvlText w:val="%1.%2.%3.%4.%5.%6　"/>
      <w:lvlJc w:val="left"/>
      <w:pPr>
        <w:ind w:left="0" w:firstLine="0"/>
      </w:pPr>
      <w:rPr>
        <w:rFonts w:hint="eastAsia" w:ascii="黑体" w:hAnsi="Times New Roman" w:eastAsia="黑体"/>
        <w:b w:val="0"/>
        <w:i w:val="0"/>
        <w:sz w:val="21"/>
      </w:rPr>
    </w:lvl>
    <w:lvl w:ilvl="6" w:tentative="1">
      <w:start w:val="1"/>
      <w:numFmt w:val="decimal"/>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5">
    <w:nsid w:val="0000000F"/>
    <w:multiLevelType w:val="multilevel"/>
    <w:tmpl w:val="0000000F"/>
    <w:lvl w:ilvl="0" w:tentative="1">
      <w:start w:val="1"/>
      <w:numFmt w:val="none"/>
      <w:pStyle w:val="45"/>
      <w:suff w:val="nothing"/>
      <w:lvlText w:val="%1"/>
      <w:lvlJc w:val="left"/>
      <w:pPr>
        <w:ind w:left="0" w:firstLine="0"/>
      </w:pPr>
      <w:rPr>
        <w:rFonts w:hint="default" w:ascii="Times New Roman" w:hAnsi="Times New Roman"/>
        <w:b/>
        <w:i w:val="0"/>
        <w:sz w:val="21"/>
      </w:rPr>
    </w:lvl>
    <w:lvl w:ilvl="1" w:tentative="1">
      <w:start w:val="10"/>
      <w:numFmt w:val="decimal"/>
      <w:pStyle w:val="40"/>
      <w:suff w:val="nothing"/>
      <w:lvlText w:val="%1%2　"/>
      <w:lvlJc w:val="left"/>
      <w:pPr>
        <w:ind w:left="0" w:firstLine="0"/>
      </w:pPr>
      <w:rPr>
        <w:rFonts w:hint="eastAsia" w:ascii="黑体" w:hAnsi="Times New Roman" w:eastAsia="黑体"/>
        <w:b w:val="0"/>
        <w:i w:val="0"/>
        <w:sz w:val="21"/>
      </w:rPr>
    </w:lvl>
    <w:lvl w:ilvl="2" w:tentative="1">
      <w:start w:val="1"/>
      <w:numFmt w:val="decimal"/>
      <w:suff w:val="nothing"/>
      <w:lvlText w:val="%1%2.%3　"/>
      <w:lvlJc w:val="left"/>
      <w:pPr>
        <w:ind w:left="0" w:firstLine="0"/>
      </w:pPr>
      <w:rPr>
        <w:rFonts w:hint="eastAsia" w:ascii="黑体" w:hAnsi="Times New Roman" w:eastAsia="黑体"/>
        <w:b w:val="0"/>
        <w:i w:val="0"/>
        <w:sz w:val="21"/>
      </w:rPr>
    </w:lvl>
    <w:lvl w:ilvl="3" w:tentative="1">
      <w:start w:val="1"/>
      <w:numFmt w:val="decimal"/>
      <w:suff w:val="nothing"/>
      <w:lvlText w:val="%1%2.%3.%4　"/>
      <w:lvlJc w:val="left"/>
      <w:pPr>
        <w:ind w:left="1365" w:firstLine="0"/>
      </w:pPr>
      <w:rPr>
        <w:rFonts w:hint="eastAsia" w:ascii="黑体" w:hAnsi="Times New Roman" w:eastAsia="黑体"/>
        <w:b w:val="0"/>
        <w:i w:val="0"/>
        <w:sz w:val="21"/>
      </w:rPr>
    </w:lvl>
    <w:lvl w:ilvl="4" w:tentative="1">
      <w:start w:val="1"/>
      <w:numFmt w:val="decimal"/>
      <w:pStyle w:val="37"/>
      <w:suff w:val="nothing"/>
      <w:lvlText w:val="%1%2.%3.%4.%5　"/>
      <w:lvlJc w:val="left"/>
      <w:pPr>
        <w:ind w:left="0" w:firstLine="0"/>
      </w:pPr>
      <w:rPr>
        <w:rFonts w:hint="eastAsia" w:ascii="黑体" w:hAnsi="Times New Roman" w:eastAsia="黑体"/>
        <w:b w:val="0"/>
        <w:i w:val="0"/>
        <w:sz w:val="21"/>
      </w:rPr>
    </w:lvl>
    <w:lvl w:ilvl="5" w:tentative="1">
      <w:start w:val="1"/>
      <w:numFmt w:val="decimal"/>
      <w:suff w:val="nothing"/>
      <w:lvlText w:val="%1%2.%3.%4.%5.%6　"/>
      <w:lvlJc w:val="left"/>
      <w:pPr>
        <w:ind w:left="0" w:firstLine="0"/>
      </w:pPr>
      <w:rPr>
        <w:rFonts w:hint="eastAsia" w:ascii="黑体" w:hAnsi="Times New Roman" w:eastAsia="黑体"/>
        <w:b w:val="0"/>
        <w:i w:val="0"/>
        <w:sz w:val="21"/>
      </w:rPr>
    </w:lvl>
    <w:lvl w:ilvl="6" w:tentative="1">
      <w:start w:val="1"/>
      <w:numFmt w:val="decimal"/>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6">
    <w:nsid w:val="00000010"/>
    <w:multiLevelType w:val="multilevel"/>
    <w:tmpl w:val="00000010"/>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7">
    <w:nsid w:val="00000011"/>
    <w:multiLevelType w:val="multilevel"/>
    <w:tmpl w:val="00000011"/>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8">
    <w:nsid w:val="00000012"/>
    <w:multiLevelType w:val="multilevel"/>
    <w:tmpl w:val="00000012"/>
    <w:lvl w:ilvl="0" w:tentative="1">
      <w:start w:val="1"/>
      <w:numFmt w:val="none"/>
      <w:pStyle w:val="61"/>
      <w:lvlText w:val="%1——"/>
      <w:lvlJc w:val="left"/>
      <w:pPr>
        <w:tabs>
          <w:tab w:val="left" w:pos="1140"/>
        </w:tabs>
        <w:ind w:left="840" w:hanging="42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9">
    <w:nsid w:val="00000013"/>
    <w:multiLevelType w:val="multilevel"/>
    <w:tmpl w:val="00000013"/>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20">
    <w:nsid w:val="00000014"/>
    <w:multiLevelType w:val="multilevel"/>
    <w:tmpl w:val="00000014"/>
    <w:lvl w:ilvl="0" w:tentative="1">
      <w:start w:val="5"/>
      <w:numFmt w:val="decimal"/>
      <w:lvlText w:val="%1"/>
      <w:lvlJc w:val="left"/>
      <w:pPr>
        <w:ind w:left="550" w:hanging="550"/>
      </w:pPr>
      <w:rPr>
        <w:rFonts w:hint="default"/>
      </w:rPr>
    </w:lvl>
    <w:lvl w:ilvl="1" w:tentative="1">
      <w:start w:val="1"/>
      <w:numFmt w:val="decimal"/>
      <w:lvlText w:val="%1.%2"/>
      <w:lvlJc w:val="left"/>
      <w:pPr>
        <w:ind w:left="760" w:hanging="550"/>
      </w:pPr>
      <w:rPr>
        <w:rFonts w:hint="default"/>
      </w:rPr>
    </w:lvl>
    <w:lvl w:ilvl="2" w:tentative="1">
      <w:start w:val="2"/>
      <w:numFmt w:val="decimal"/>
      <w:lvlText w:val="%1.%2.%3"/>
      <w:lvlJc w:val="left"/>
      <w:pPr>
        <w:ind w:left="1140" w:hanging="720"/>
      </w:pPr>
      <w:rPr>
        <w:rFonts w:hint="default"/>
      </w:rPr>
    </w:lvl>
    <w:lvl w:ilvl="3" w:tentative="1">
      <w:start w:val="1"/>
      <w:numFmt w:val="decimal"/>
      <w:lvlText w:val="%1.%2.%3.%4"/>
      <w:lvlJc w:val="left"/>
      <w:pPr>
        <w:ind w:left="1710" w:hanging="1080"/>
      </w:pPr>
      <w:rPr>
        <w:rFonts w:hint="default"/>
      </w:rPr>
    </w:lvl>
    <w:lvl w:ilvl="4" w:tentative="1">
      <w:start w:val="1"/>
      <w:numFmt w:val="decimal"/>
      <w:lvlText w:val="%1.%2.%3.%4.%5"/>
      <w:lvlJc w:val="left"/>
      <w:pPr>
        <w:ind w:left="1920" w:hanging="1080"/>
      </w:pPr>
      <w:rPr>
        <w:rFonts w:hint="default"/>
      </w:rPr>
    </w:lvl>
    <w:lvl w:ilvl="5" w:tentative="1">
      <w:start w:val="1"/>
      <w:numFmt w:val="decimal"/>
      <w:lvlText w:val="%1.%2.%3.%4.%5.%6"/>
      <w:lvlJc w:val="left"/>
      <w:pPr>
        <w:ind w:left="2490" w:hanging="1440"/>
      </w:pPr>
      <w:rPr>
        <w:rFonts w:hint="default"/>
      </w:rPr>
    </w:lvl>
    <w:lvl w:ilvl="6" w:tentative="1">
      <w:start w:val="1"/>
      <w:numFmt w:val="decimal"/>
      <w:lvlText w:val="%1.%2.%3.%4.%5.%6.%7"/>
      <w:lvlJc w:val="left"/>
      <w:pPr>
        <w:ind w:left="2700" w:hanging="1440"/>
      </w:pPr>
      <w:rPr>
        <w:rFonts w:hint="default"/>
      </w:rPr>
    </w:lvl>
    <w:lvl w:ilvl="7" w:tentative="1">
      <w:start w:val="1"/>
      <w:numFmt w:val="decimal"/>
      <w:lvlText w:val="%1.%2.%3.%4.%5.%6.%7.%8"/>
      <w:lvlJc w:val="left"/>
      <w:pPr>
        <w:ind w:left="3270" w:hanging="1800"/>
      </w:pPr>
      <w:rPr>
        <w:rFonts w:hint="default"/>
      </w:rPr>
    </w:lvl>
    <w:lvl w:ilvl="8" w:tentative="1">
      <w:start w:val="1"/>
      <w:numFmt w:val="decimal"/>
      <w:lvlText w:val="%1.%2.%3.%4.%5.%6.%7.%8.%9"/>
      <w:lvlJc w:val="left"/>
      <w:pPr>
        <w:ind w:left="3480" w:hanging="1800"/>
      </w:pPr>
      <w:rPr>
        <w:rFonts w:hint="default"/>
      </w:rPr>
    </w:lvl>
  </w:abstractNum>
  <w:abstractNum w:abstractNumId="21">
    <w:nsid w:val="00000015"/>
    <w:multiLevelType w:val="multilevel"/>
    <w:tmpl w:val="00000015"/>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22">
    <w:nsid w:val="00000016"/>
    <w:multiLevelType w:val="singleLevel"/>
    <w:tmpl w:val="00000016"/>
    <w:lvl w:ilvl="0" w:tentative="1">
      <w:start w:val="1"/>
      <w:numFmt w:val="decimal"/>
      <w:suff w:val="nothing"/>
      <w:lvlText w:val="%1）"/>
      <w:lvlJc w:val="left"/>
    </w:lvl>
  </w:abstractNum>
  <w:abstractNum w:abstractNumId="23">
    <w:nsid w:val="00000017"/>
    <w:multiLevelType w:val="multilevel"/>
    <w:tmpl w:val="00000017"/>
    <w:lvl w:ilvl="0" w:tentative="1">
      <w:start w:val="1"/>
      <w:numFmt w:val="lowerLetter"/>
      <w:lvlText w:val="%1)"/>
      <w:lvlJc w:val="left"/>
      <w:pPr>
        <w:tabs>
          <w:tab w:val="left" w:pos="840"/>
        </w:tabs>
        <w:ind w:left="839" w:hanging="419"/>
      </w:pPr>
      <w:rPr>
        <w:rFonts w:hint="eastAsia" w:ascii="宋体" w:eastAsia="宋体"/>
        <w:b w:val="0"/>
        <w:i w:val="0"/>
        <w:sz w:val="28"/>
        <w:szCs w:val="28"/>
      </w:rPr>
    </w:lvl>
    <w:lvl w:ilvl="1" w:tentative="1">
      <w:start w:val="1"/>
      <w:numFmt w:val="decimal"/>
      <w:pStyle w:val="85"/>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hint="eastAsia" w:ascii="宋体" w:eastAsia="宋体"/>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24">
    <w:nsid w:val="00000018"/>
    <w:multiLevelType w:val="multilevel"/>
    <w:tmpl w:val="00000018"/>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25">
    <w:nsid w:val="00000019"/>
    <w:multiLevelType w:val="multilevel"/>
    <w:tmpl w:val="00000019"/>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26">
    <w:nsid w:val="0000001A"/>
    <w:multiLevelType w:val="multilevel"/>
    <w:tmpl w:val="0000001A"/>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27">
    <w:nsid w:val="0000001B"/>
    <w:multiLevelType w:val="multilevel"/>
    <w:tmpl w:val="0000001B"/>
    <w:lvl w:ilvl="0" w:tentative="1">
      <w:start w:val="1"/>
      <w:numFmt w:val="none"/>
      <w:suff w:val="nothing"/>
      <w:lvlText w:val="　"/>
      <w:lvlJc w:val="left"/>
      <w:pPr>
        <w:ind w:left="0" w:firstLine="0"/>
      </w:pPr>
      <w:rPr>
        <w:rFonts w:hint="eastAsia" w:ascii="黑体" w:hAnsi="Times New Roman" w:eastAsia="黑体"/>
        <w:b w:val="0"/>
        <w:i w:val="0"/>
        <w:sz w:val="21"/>
      </w:rPr>
    </w:lvl>
    <w:lvl w:ilvl="1" w:tentative="1">
      <w:start w:val="1"/>
      <w:numFmt w:val="decimal"/>
      <w:isLgl/>
      <w:suff w:val="nothing"/>
      <w:lvlText w:val="%2　"/>
      <w:lvlJc w:val="left"/>
      <w:pPr>
        <w:ind w:left="0" w:firstLine="0"/>
      </w:pPr>
      <w:rPr>
        <w:rFonts w:hint="eastAsia" w:ascii="黑体" w:hAnsi="Times New Roman" w:eastAsia="黑体"/>
        <w:b w:val="0"/>
        <w:i w:val="0"/>
        <w:spacing w:val="0"/>
        <w:w w:val="100"/>
        <w:kern w:val="21"/>
        <w:sz w:val="21"/>
      </w:rPr>
    </w:lvl>
    <w:lvl w:ilvl="2" w:tentative="1">
      <w:start w:val="1"/>
      <w:numFmt w:val="decimal"/>
      <w:pStyle w:val="56"/>
      <w:suff w:val="nothing"/>
      <w:lvlText w:val="%1%2.%3　"/>
      <w:lvlJc w:val="left"/>
      <w:pPr>
        <w:ind w:left="0" w:firstLine="0"/>
      </w:pPr>
      <w:rPr>
        <w:rFonts w:hint="eastAsia" w:ascii="黑体" w:hAnsi="Times New Roman" w:eastAsia="黑体"/>
        <w:b w:val="0"/>
        <w:i w:val="0"/>
        <w:sz w:val="21"/>
      </w:rPr>
    </w:lvl>
    <w:lvl w:ilvl="3" w:tentative="1">
      <w:start w:val="1"/>
      <w:numFmt w:val="decimal"/>
      <w:pStyle w:val="79"/>
      <w:suff w:val="nothing"/>
      <w:lvlText w:val="%1%2.%3.%4　"/>
      <w:lvlJc w:val="left"/>
      <w:pPr>
        <w:ind w:left="0" w:firstLine="0"/>
      </w:pPr>
      <w:rPr>
        <w:b w:val="0"/>
        <w:bCs w:val="0"/>
        <w:i w:val="0"/>
        <w:iCs w:val="0"/>
        <w:caps w:val="0"/>
        <w:smallCaps w:val="0"/>
        <w:strike w:val="0"/>
        <w:dstrike w:val="0"/>
        <w:color w:val="000000"/>
        <w:spacing w:val="0"/>
        <w:position w:val="0"/>
        <w:u w:val="none"/>
      </w:rPr>
    </w:lvl>
    <w:lvl w:ilvl="4" w:tentative="1">
      <w:start w:val="1"/>
      <w:numFmt w:val="decimal"/>
      <w:pStyle w:val="55"/>
      <w:suff w:val="nothing"/>
      <w:lvlText w:val="%1%2.%3.%4.%5　"/>
      <w:lvlJc w:val="left"/>
      <w:pPr>
        <w:ind w:left="993" w:firstLine="0"/>
      </w:pPr>
      <w:rPr>
        <w:rFonts w:hint="eastAsia" w:ascii="黑体" w:hAnsi="Times New Roman" w:eastAsia="黑体"/>
        <w:b w:val="0"/>
        <w:i w:val="0"/>
        <w:sz w:val="21"/>
      </w:rPr>
    </w:lvl>
    <w:lvl w:ilvl="5" w:tentative="1">
      <w:start w:val="1"/>
      <w:numFmt w:val="decimal"/>
      <w:pStyle w:val="53"/>
      <w:suff w:val="nothing"/>
      <w:lvlText w:val="%1%2.%3.%4.%5.%6　"/>
      <w:lvlJc w:val="left"/>
      <w:pPr>
        <w:ind w:left="0" w:firstLine="0"/>
      </w:pPr>
      <w:rPr>
        <w:rFonts w:hint="eastAsia" w:ascii="黑体" w:hAnsi="Times New Roman" w:eastAsia="黑体"/>
        <w:b w:val="0"/>
        <w:i w:val="0"/>
        <w:sz w:val="21"/>
      </w:rPr>
    </w:lvl>
    <w:lvl w:ilvl="6" w:tentative="1">
      <w:start w:val="1"/>
      <w:numFmt w:val="decimal"/>
      <w:pStyle w:val="63"/>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28">
    <w:nsid w:val="0000001C"/>
    <w:multiLevelType w:val="singleLevel"/>
    <w:tmpl w:val="0000001C"/>
    <w:lvl w:ilvl="0" w:tentative="1">
      <w:start w:val="1"/>
      <w:numFmt w:val="decimal"/>
      <w:suff w:val="nothing"/>
      <w:lvlText w:val="%1）"/>
      <w:lvlJc w:val="left"/>
    </w:lvl>
  </w:abstractNum>
  <w:abstractNum w:abstractNumId="29">
    <w:nsid w:val="0000001D"/>
    <w:multiLevelType w:val="multilevel"/>
    <w:tmpl w:val="0000001D"/>
    <w:lvl w:ilvl="0" w:tentative="1">
      <w:start w:val="1"/>
      <w:numFmt w:val="none"/>
      <w:pStyle w:val="60"/>
      <w:lvlText w:val="%1·　"/>
      <w:lvlJc w:val="left"/>
      <w:pPr>
        <w:tabs>
          <w:tab w:val="left" w:pos="1140"/>
        </w:tabs>
        <w:ind w:left="737" w:hanging="317"/>
      </w:pPr>
      <w:rPr>
        <w:rFonts w:hint="eastAsia" w:ascii="宋体" w:hAnsi="Times New Roman" w:eastAsia="宋体"/>
        <w:b w:val="0"/>
        <w:i w:val="0"/>
        <w:sz w:val="21"/>
        <w:lang w:val="en-US"/>
      </w:rPr>
    </w:lvl>
    <w:lvl w:ilvl="1" w:tentative="1">
      <w:start w:val="1"/>
      <w:numFmt w:val="bullet"/>
      <w:lvlText w:val=""/>
      <w:lvlJc w:val="left"/>
      <w:pPr>
        <w:tabs>
          <w:tab w:val="left" w:pos="-420"/>
        </w:tabs>
        <w:ind w:left="-420" w:hanging="420"/>
      </w:pPr>
      <w:rPr>
        <w:rFonts w:hint="default" w:ascii="Wingdings" w:hAnsi="Wingdings"/>
      </w:rPr>
    </w:lvl>
    <w:lvl w:ilvl="2" w:tentative="1">
      <w:start w:val="1"/>
      <w:numFmt w:val="bullet"/>
      <w:lvlText w:val=""/>
      <w:lvlJc w:val="left"/>
      <w:pPr>
        <w:tabs>
          <w:tab w:val="left" w:pos="0"/>
        </w:tabs>
        <w:ind w:left="0" w:hanging="420"/>
      </w:pPr>
      <w:rPr>
        <w:rFonts w:hint="default" w:ascii="Wingdings" w:hAnsi="Wingdings"/>
      </w:rPr>
    </w:lvl>
    <w:lvl w:ilvl="3" w:tentative="1">
      <w:start w:val="1"/>
      <w:numFmt w:val="bullet"/>
      <w:lvlText w:val=""/>
      <w:lvlJc w:val="left"/>
      <w:pPr>
        <w:tabs>
          <w:tab w:val="left" w:pos="420"/>
        </w:tabs>
        <w:ind w:left="420" w:hanging="420"/>
      </w:pPr>
      <w:rPr>
        <w:rFonts w:hint="default" w:ascii="Wingdings" w:hAnsi="Wingdings"/>
      </w:rPr>
    </w:lvl>
    <w:lvl w:ilvl="4" w:tentative="1">
      <w:start w:val="1"/>
      <w:numFmt w:val="bullet"/>
      <w:lvlText w:val=""/>
      <w:lvlJc w:val="left"/>
      <w:pPr>
        <w:tabs>
          <w:tab w:val="left" w:pos="840"/>
        </w:tabs>
        <w:ind w:left="840" w:hanging="420"/>
      </w:pPr>
      <w:rPr>
        <w:rFonts w:hint="default" w:ascii="Wingdings" w:hAnsi="Wingdings"/>
      </w:rPr>
    </w:lvl>
    <w:lvl w:ilvl="5" w:tentative="1">
      <w:start w:val="1"/>
      <w:numFmt w:val="bullet"/>
      <w:lvlText w:val=""/>
      <w:lvlJc w:val="left"/>
      <w:pPr>
        <w:tabs>
          <w:tab w:val="left" w:pos="1260"/>
        </w:tabs>
        <w:ind w:left="1260" w:hanging="420"/>
      </w:pPr>
      <w:rPr>
        <w:rFonts w:hint="default" w:ascii="Wingdings" w:hAnsi="Wingdings"/>
      </w:rPr>
    </w:lvl>
    <w:lvl w:ilvl="6" w:tentative="1">
      <w:start w:val="1"/>
      <w:numFmt w:val="bullet"/>
      <w:lvlText w:val=""/>
      <w:lvlJc w:val="left"/>
      <w:pPr>
        <w:tabs>
          <w:tab w:val="left" w:pos="1680"/>
        </w:tabs>
        <w:ind w:left="1680" w:hanging="420"/>
      </w:pPr>
      <w:rPr>
        <w:rFonts w:hint="default" w:ascii="Wingdings" w:hAnsi="Wingdings"/>
      </w:rPr>
    </w:lvl>
    <w:lvl w:ilvl="7" w:tentative="1">
      <w:start w:val="1"/>
      <w:numFmt w:val="bullet"/>
      <w:lvlText w:val=""/>
      <w:lvlJc w:val="left"/>
      <w:pPr>
        <w:tabs>
          <w:tab w:val="left" w:pos="2100"/>
        </w:tabs>
        <w:ind w:left="2100" w:hanging="420"/>
      </w:pPr>
      <w:rPr>
        <w:rFonts w:hint="default" w:ascii="Wingdings" w:hAnsi="Wingdings"/>
      </w:rPr>
    </w:lvl>
    <w:lvl w:ilvl="8" w:tentative="1">
      <w:start w:val="1"/>
      <w:numFmt w:val="bullet"/>
      <w:lvlText w:val=""/>
      <w:lvlJc w:val="left"/>
      <w:pPr>
        <w:tabs>
          <w:tab w:val="left" w:pos="2520"/>
        </w:tabs>
        <w:ind w:left="2520" w:hanging="420"/>
      </w:pPr>
      <w:rPr>
        <w:rFonts w:hint="default" w:ascii="Wingdings" w:hAnsi="Wingdings"/>
      </w:rPr>
    </w:lvl>
  </w:abstractNum>
  <w:abstractNum w:abstractNumId="30">
    <w:nsid w:val="0000001E"/>
    <w:multiLevelType w:val="multilevel"/>
    <w:tmpl w:val="0000001E"/>
    <w:lvl w:ilvl="0" w:tentative="1">
      <w:start w:val="1"/>
      <w:numFmt w:val="none"/>
      <w:pStyle w:val="80"/>
      <w:lvlText w:val="%1注："/>
      <w:lvlJc w:val="left"/>
      <w:pPr>
        <w:tabs>
          <w:tab w:val="left" w:pos="1080"/>
        </w:tabs>
        <w:ind w:left="780" w:hanging="420"/>
      </w:pPr>
      <w:rPr>
        <w:rFonts w:hint="eastAsia" w:ascii="宋体" w:hAnsi="Times New Roman" w:eastAsia="宋体"/>
        <w:b w:val="0"/>
        <w:i w:val="0"/>
        <w:sz w:val="18"/>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31">
    <w:nsid w:val="0000001F"/>
    <w:multiLevelType w:val="multilevel"/>
    <w:tmpl w:val="0000001F"/>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2">
    <w:nsid w:val="00000020"/>
    <w:multiLevelType w:val="multilevel"/>
    <w:tmpl w:val="00000020"/>
    <w:lvl w:ilvl="0" w:tentative="1">
      <w:start w:val="1"/>
      <w:numFmt w:val="decimal"/>
      <w:suff w:val="nothing"/>
      <w:lvlText w:val="%1）"/>
      <w:lvlJc w:val="left"/>
      <w:pPr>
        <w:ind w:left="786"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3">
    <w:nsid w:val="00000021"/>
    <w:multiLevelType w:val="multilevel"/>
    <w:tmpl w:val="00000021"/>
    <w:lvl w:ilvl="0" w:tentative="1">
      <w:start w:val="1"/>
      <w:numFmt w:val="upperLetter"/>
      <w:pStyle w:val="94"/>
      <w:lvlText w:val="%1"/>
      <w:lvlJc w:val="left"/>
      <w:pPr>
        <w:tabs>
          <w:tab w:val="left" w:pos="0"/>
        </w:tabs>
        <w:ind w:left="0" w:hanging="425"/>
      </w:pPr>
      <w:rPr>
        <w:rFonts w:hint="eastAsia"/>
      </w:rPr>
    </w:lvl>
    <w:lvl w:ilvl="1" w:tentative="1">
      <w:start w:val="1"/>
      <w:numFmt w:val="decimal"/>
      <w:pStyle w:val="95"/>
      <w:suff w:val="nothing"/>
      <w:lvlText w:val="表%1.%2　"/>
      <w:lvlJc w:val="left"/>
      <w:pPr>
        <w:ind w:left="567" w:hanging="567"/>
      </w:pPr>
      <w:rPr>
        <w:rFonts w:hint="eastAsia"/>
      </w:rPr>
    </w:lvl>
    <w:lvl w:ilvl="2" w:tentative="1">
      <w:start w:val="1"/>
      <w:numFmt w:val="decimal"/>
      <w:lvlText w:val="%1.%2.%3"/>
      <w:lvlJc w:val="left"/>
      <w:pPr>
        <w:tabs>
          <w:tab w:val="left" w:pos="993"/>
        </w:tabs>
        <w:ind w:left="993" w:hanging="567"/>
      </w:pPr>
      <w:rPr>
        <w:rFonts w:hint="eastAsia"/>
      </w:rPr>
    </w:lvl>
    <w:lvl w:ilvl="3" w:tentative="1">
      <w:start w:val="1"/>
      <w:numFmt w:val="decimal"/>
      <w:lvlText w:val="%1.%2.%3.%4"/>
      <w:lvlJc w:val="left"/>
      <w:pPr>
        <w:tabs>
          <w:tab w:val="left" w:pos="2291"/>
        </w:tabs>
        <w:ind w:left="1559" w:hanging="708"/>
      </w:pPr>
      <w:rPr>
        <w:rFonts w:hint="eastAsia"/>
      </w:rPr>
    </w:lvl>
    <w:lvl w:ilvl="4" w:tentative="1">
      <w:start w:val="1"/>
      <w:numFmt w:val="decimal"/>
      <w:lvlText w:val="%1.%2.%3.%4.%5"/>
      <w:lvlJc w:val="left"/>
      <w:pPr>
        <w:tabs>
          <w:tab w:val="left" w:pos="3076"/>
        </w:tabs>
        <w:ind w:left="2126" w:hanging="850"/>
      </w:pPr>
      <w:rPr>
        <w:rFonts w:hint="eastAsia"/>
      </w:rPr>
    </w:lvl>
    <w:lvl w:ilvl="5" w:tentative="1">
      <w:start w:val="1"/>
      <w:numFmt w:val="decimal"/>
      <w:lvlText w:val="%1.%2.%3.%4.%5.%6"/>
      <w:lvlJc w:val="left"/>
      <w:pPr>
        <w:tabs>
          <w:tab w:val="left" w:pos="3861"/>
        </w:tabs>
        <w:ind w:left="2835" w:hanging="1134"/>
      </w:pPr>
      <w:rPr>
        <w:rFonts w:hint="eastAsia"/>
      </w:rPr>
    </w:lvl>
    <w:lvl w:ilvl="6" w:tentative="1">
      <w:start w:val="1"/>
      <w:numFmt w:val="decimal"/>
      <w:lvlText w:val="%1.%2.%3.%4.%5.%6.%7"/>
      <w:lvlJc w:val="left"/>
      <w:pPr>
        <w:tabs>
          <w:tab w:val="left" w:pos="4646"/>
        </w:tabs>
        <w:ind w:left="3402" w:hanging="1276"/>
      </w:pPr>
      <w:rPr>
        <w:rFonts w:hint="eastAsia"/>
      </w:rPr>
    </w:lvl>
    <w:lvl w:ilvl="7" w:tentative="1">
      <w:start w:val="1"/>
      <w:numFmt w:val="decimal"/>
      <w:lvlText w:val="%1.%2.%3.%4.%5.%6.%7.%8"/>
      <w:lvlJc w:val="left"/>
      <w:pPr>
        <w:tabs>
          <w:tab w:val="left" w:pos="5431"/>
        </w:tabs>
        <w:ind w:left="3969" w:hanging="1418"/>
      </w:pPr>
      <w:rPr>
        <w:rFonts w:hint="eastAsia"/>
      </w:rPr>
    </w:lvl>
    <w:lvl w:ilvl="8" w:tentative="1">
      <w:start w:val="1"/>
      <w:numFmt w:val="decimal"/>
      <w:lvlText w:val="%1.%2.%3.%4.%5.%6.%7.%8.%9"/>
      <w:lvlJc w:val="left"/>
      <w:pPr>
        <w:tabs>
          <w:tab w:val="left" w:pos="6217"/>
        </w:tabs>
        <w:ind w:left="4677" w:hanging="1700"/>
      </w:pPr>
      <w:rPr>
        <w:rFonts w:hint="eastAsia"/>
      </w:rPr>
    </w:lvl>
  </w:abstractNum>
  <w:abstractNum w:abstractNumId="34">
    <w:nsid w:val="00000022"/>
    <w:multiLevelType w:val="multilevel"/>
    <w:tmpl w:val="00000022"/>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5">
    <w:nsid w:val="00000023"/>
    <w:multiLevelType w:val="multilevel"/>
    <w:tmpl w:val="00000023"/>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6">
    <w:nsid w:val="00000024"/>
    <w:multiLevelType w:val="singleLevel"/>
    <w:tmpl w:val="00000024"/>
    <w:lvl w:ilvl="0" w:tentative="1">
      <w:start w:val="1"/>
      <w:numFmt w:val="decimal"/>
      <w:suff w:val="nothing"/>
      <w:lvlText w:val="%1）"/>
      <w:lvlJc w:val="left"/>
    </w:lvl>
  </w:abstractNum>
  <w:abstractNum w:abstractNumId="37">
    <w:nsid w:val="00000025"/>
    <w:multiLevelType w:val="singleLevel"/>
    <w:tmpl w:val="00000025"/>
    <w:lvl w:ilvl="0" w:tentative="1">
      <w:start w:val="1"/>
      <w:numFmt w:val="decimal"/>
      <w:suff w:val="nothing"/>
      <w:lvlText w:val="%1）"/>
      <w:lvlJc w:val="left"/>
    </w:lvl>
  </w:abstractNum>
  <w:abstractNum w:abstractNumId="38">
    <w:nsid w:val="00000026"/>
    <w:multiLevelType w:val="multilevel"/>
    <w:tmpl w:val="00000026"/>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5"/>
  </w:num>
  <w:num w:numId="2">
    <w:abstractNumId w:val="14"/>
  </w:num>
  <w:num w:numId="3">
    <w:abstractNumId w:val="27"/>
  </w:num>
  <w:num w:numId="4">
    <w:abstractNumId w:val="29"/>
  </w:num>
  <w:num w:numId="5">
    <w:abstractNumId w:val="18"/>
  </w:num>
  <w:num w:numId="6">
    <w:abstractNumId w:val="30"/>
  </w:num>
  <w:num w:numId="7">
    <w:abstractNumId w:val="23"/>
  </w:num>
  <w:num w:numId="8">
    <w:abstractNumId w:val="33"/>
  </w:num>
  <w:num w:numId="9">
    <w:abstractNumId w:val="37"/>
  </w:num>
  <w:num w:numId="10">
    <w:abstractNumId w:val="22"/>
  </w:num>
  <w:num w:numId="11">
    <w:abstractNumId w:val="12"/>
  </w:num>
  <w:num w:numId="12">
    <w:abstractNumId w:val="20"/>
  </w:num>
  <w:num w:numId="13">
    <w:abstractNumId w:val="25"/>
  </w:num>
  <w:num w:numId="14">
    <w:abstractNumId w:val="32"/>
  </w:num>
  <w:num w:numId="15">
    <w:abstractNumId w:val="13"/>
  </w:num>
  <w:num w:numId="16">
    <w:abstractNumId w:val="26"/>
  </w:num>
  <w:num w:numId="17">
    <w:abstractNumId w:val="21"/>
  </w:num>
  <w:num w:numId="18">
    <w:abstractNumId w:val="17"/>
  </w:num>
  <w:num w:numId="19">
    <w:abstractNumId w:val="16"/>
  </w:num>
  <w:num w:numId="20">
    <w:abstractNumId w:val="19"/>
  </w:num>
  <w:num w:numId="21">
    <w:abstractNumId w:val="35"/>
  </w:num>
  <w:num w:numId="22">
    <w:abstractNumId w:val="36"/>
  </w:num>
  <w:num w:numId="23">
    <w:abstractNumId w:val="28"/>
  </w:num>
  <w:num w:numId="24">
    <w:abstractNumId w:val="34"/>
  </w:num>
  <w:num w:numId="25">
    <w:abstractNumId w:val="24"/>
  </w:num>
  <w:num w:numId="26">
    <w:abstractNumId w:val="38"/>
  </w:num>
  <w:num w:numId="2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HorizontalSpacing w:val="105"/>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6"/>
    <w:pPr>
      <w:keepNext/>
      <w:tabs>
        <w:tab w:val="left" w:pos="420"/>
      </w:tabs>
      <w:suppressAutoHyphens/>
      <w:spacing w:before="200"/>
      <w:jc w:val="left"/>
      <w:outlineLvl w:val="0"/>
    </w:pPr>
    <w:rPr>
      <w:rFonts w:ascii="Arial" w:hAnsi="Arial" w:cs="Arial"/>
      <w:b/>
      <w:bCs/>
      <w:spacing w:val="8"/>
      <w:kern w:val="2"/>
      <w:sz w:val="22"/>
      <w:szCs w:val="22"/>
    </w:rPr>
  </w:style>
  <w:style w:type="paragraph" w:styleId="3">
    <w:name w:val="heading 2"/>
    <w:basedOn w:val="1"/>
    <w:next w:val="1"/>
    <w:link w:val="97"/>
    <w:pPr>
      <w:tabs>
        <w:tab w:val="left" w:pos="840"/>
      </w:tabs>
      <w:spacing w:before="100" w:after="100"/>
      <w:outlineLvl w:val="1"/>
    </w:pPr>
    <w:rPr>
      <w:rFonts w:ascii="Arial" w:hAnsi="Arial" w:cs="Arial"/>
      <w:b/>
      <w:bCs/>
      <w:spacing w:val="8"/>
      <w:kern w:val="2"/>
      <w:sz w:val="22"/>
      <w:szCs w:val="22"/>
    </w:rPr>
  </w:style>
  <w:style w:type="paragraph" w:styleId="4">
    <w:name w:val="heading 3"/>
    <w:basedOn w:val="3"/>
    <w:next w:val="5"/>
    <w:link w:val="98"/>
    <w:pPr>
      <w:tabs>
        <w:tab w:val="left" w:pos="420"/>
        <w:tab w:val="clear" w:pos="840"/>
      </w:tabs>
      <w:outlineLvl w:val="2"/>
    </w:pPr>
    <w:rPr>
      <w:rFonts w:ascii="Arial" w:hAnsi="Arial" w:eastAsia="宋体" w:cs="Arial"/>
      <w:spacing w:val="8"/>
      <w:sz w:val="22"/>
      <w:szCs w:val="22"/>
      <w:lang w:eastAsia="zh-CN" w:bidi="ar-SA"/>
    </w:rPr>
  </w:style>
  <w:style w:type="paragraph" w:styleId="6">
    <w:name w:val="heading 4"/>
    <w:basedOn w:val="4"/>
    <w:next w:val="5"/>
    <w:link w:val="99"/>
    <w:pPr>
      <w:tabs>
        <w:tab w:val="left" w:pos="1680"/>
        <w:tab w:val="clear" w:pos="420"/>
      </w:tabs>
      <w:outlineLvl w:val="3"/>
    </w:pPr>
    <w:rPr>
      <w:rFonts w:ascii="Arial" w:hAnsi="Arial" w:eastAsia="宋体" w:cs="Arial"/>
      <w:spacing w:val="8"/>
      <w:sz w:val="22"/>
      <w:szCs w:val="22"/>
      <w:lang w:eastAsia="zh-CN" w:bidi="ar-SA"/>
    </w:rPr>
  </w:style>
  <w:style w:type="paragraph" w:styleId="7">
    <w:name w:val="heading 5"/>
    <w:basedOn w:val="6"/>
    <w:next w:val="5"/>
    <w:link w:val="100"/>
    <w:pPr>
      <w:tabs>
        <w:tab w:val="left" w:pos="2100"/>
        <w:tab w:val="clear" w:pos="1680"/>
      </w:tabs>
      <w:ind w:left="1304" w:hanging="1304"/>
      <w:outlineLvl w:val="4"/>
    </w:pPr>
    <w:rPr>
      <w:rFonts w:ascii="Arial" w:hAnsi="Arial" w:eastAsia="宋体" w:cs="Arial"/>
      <w:spacing w:val="8"/>
      <w:sz w:val="22"/>
      <w:szCs w:val="22"/>
      <w:lang w:eastAsia="zh-CN" w:bidi="ar-SA"/>
    </w:rPr>
  </w:style>
  <w:style w:type="paragraph" w:styleId="8">
    <w:name w:val="heading 6"/>
    <w:basedOn w:val="7"/>
    <w:next w:val="5"/>
    <w:link w:val="101"/>
    <w:pPr>
      <w:tabs>
        <w:tab w:val="left" w:pos="2520"/>
        <w:tab w:val="clear" w:pos="2100"/>
      </w:tabs>
      <w:ind w:left="1531" w:hanging="1531"/>
      <w:outlineLvl w:val="5"/>
    </w:pPr>
    <w:rPr>
      <w:rFonts w:ascii="Arial" w:hAnsi="Arial" w:eastAsia="宋体" w:cs="Arial"/>
      <w:spacing w:val="8"/>
      <w:sz w:val="22"/>
      <w:szCs w:val="22"/>
      <w:lang w:eastAsia="zh-CN" w:bidi="ar-SA"/>
    </w:rPr>
  </w:style>
  <w:style w:type="paragraph" w:styleId="9">
    <w:name w:val="heading 7"/>
    <w:basedOn w:val="8"/>
    <w:next w:val="5"/>
    <w:link w:val="102"/>
    <w:pPr>
      <w:tabs>
        <w:tab w:val="left" w:pos="2940"/>
        <w:tab w:val="clear" w:pos="2520"/>
      </w:tabs>
      <w:ind w:left="1758" w:hanging="1758"/>
      <w:outlineLvl w:val="6"/>
    </w:pPr>
    <w:rPr>
      <w:rFonts w:ascii="Arial" w:hAnsi="Arial" w:eastAsia="宋体" w:cs="Arial"/>
      <w:spacing w:val="8"/>
      <w:sz w:val="22"/>
      <w:szCs w:val="22"/>
      <w:lang w:eastAsia="zh-CN" w:bidi="ar-SA"/>
    </w:rPr>
  </w:style>
  <w:style w:type="paragraph" w:styleId="10">
    <w:name w:val="heading 8"/>
    <w:basedOn w:val="9"/>
    <w:next w:val="5"/>
    <w:link w:val="103"/>
    <w:pPr>
      <w:tabs>
        <w:tab w:val="left" w:pos="3360"/>
        <w:tab w:val="clear" w:pos="2940"/>
      </w:tabs>
      <w:ind w:left="1985" w:hanging="1985"/>
      <w:outlineLvl w:val="7"/>
    </w:pPr>
    <w:rPr>
      <w:rFonts w:ascii="Arial" w:hAnsi="Arial" w:eastAsia="宋体" w:cs="Arial"/>
      <w:spacing w:val="8"/>
      <w:sz w:val="22"/>
      <w:szCs w:val="22"/>
      <w:lang w:eastAsia="zh-CN" w:bidi="ar-SA"/>
    </w:rPr>
  </w:style>
  <w:style w:type="paragraph" w:styleId="11">
    <w:name w:val="heading 9"/>
    <w:basedOn w:val="10"/>
    <w:next w:val="5"/>
    <w:link w:val="104"/>
    <w:pPr>
      <w:tabs>
        <w:tab w:val="left" w:pos="3780"/>
        <w:tab w:val="clear" w:pos="3360"/>
      </w:tabs>
      <w:ind w:left="2211" w:hanging="2211"/>
      <w:outlineLvl w:val="8"/>
    </w:pPr>
    <w:rPr>
      <w:rFonts w:ascii="Arial" w:hAnsi="Arial" w:eastAsia="宋体" w:cs="Arial"/>
      <w:spacing w:val="8"/>
      <w:sz w:val="22"/>
      <w:szCs w:val="22"/>
      <w:lang w:eastAsia="zh-CN" w:bidi="ar-SA"/>
    </w:rPr>
  </w:style>
  <w:style w:type="character" w:default="1" w:styleId="27">
    <w:name w:val="Default Paragraph Font"/>
  </w:style>
  <w:style w:type="paragraph" w:customStyle="1" w:styleId="5">
    <w:name w:val="PARAGRAPH"/>
    <w:link w:val="108"/>
    <w:pPr>
      <w:snapToGrid w:val="0"/>
      <w:spacing w:before="100" w:after="200"/>
      <w:jc w:val="both"/>
    </w:pPr>
    <w:rPr>
      <w:rFonts w:ascii="Arial" w:hAnsi="Arial" w:cs="Arial"/>
      <w:spacing w:val="8"/>
      <w:lang w:eastAsia="zh-CN" w:bidi="ar-SA"/>
    </w:rPr>
  </w:style>
  <w:style w:type="character" w:customStyle="1" w:styleId="12">
    <w:name w:val="批注主题 Char"/>
    <w:link w:val="13"/>
    <w:semiHidden/>
    <w:rPr>
      <w:b/>
      <w:bCs/>
      <w:kern w:val="2"/>
      <w:sz w:val="21"/>
      <w:szCs w:val="24"/>
    </w:rPr>
  </w:style>
  <w:style w:type="paragraph" w:customStyle="1" w:styleId="13">
    <w:name w:val="批注主题1"/>
    <w:basedOn w:val="14"/>
    <w:next w:val="14"/>
    <w:link w:val="12"/>
    <w:rPr>
      <w:b/>
      <w:bCs/>
      <w:kern w:val="2"/>
      <w:sz w:val="21"/>
      <w:szCs w:val="24"/>
    </w:rPr>
  </w:style>
  <w:style w:type="paragraph" w:styleId="14">
    <w:name w:val="annotation text"/>
    <w:basedOn w:val="1"/>
    <w:link w:val="105"/>
    <w:pPr>
      <w:jc w:val="left"/>
    </w:pPr>
    <w:rPr>
      <w:kern w:val="2"/>
      <w:sz w:val="21"/>
      <w:szCs w:val="24"/>
    </w:rPr>
  </w:style>
  <w:style w:type="paragraph" w:styleId="15">
    <w:name w:val="caption"/>
    <w:basedOn w:val="1"/>
    <w:next w:val="1"/>
    <w:pPr>
      <w:spacing w:before="152" w:after="160"/>
    </w:pPr>
    <w:rPr>
      <w:rFonts w:ascii="Arial" w:hAnsi="Arial" w:eastAsia="黑体" w:cs="Arial"/>
      <w:sz w:val="20"/>
      <w:szCs w:val="20"/>
    </w:rPr>
  </w:style>
  <w:style w:type="paragraph" w:styleId="16">
    <w:name w:val="List Bullet"/>
    <w:basedOn w:val="1"/>
    <w:pPr>
      <w:widowControl/>
      <w:tabs>
        <w:tab w:val="center" w:pos="4536"/>
        <w:tab w:val="right" w:pos="9072"/>
      </w:tabs>
      <w:spacing w:after="100"/>
      <w:ind w:left="340" w:hanging="340"/>
    </w:pPr>
    <w:rPr>
      <w:rFonts w:ascii="Arial" w:hAnsi="Arial"/>
      <w:spacing w:val="8"/>
      <w:kern w:val="0"/>
      <w:sz w:val="20"/>
      <w:szCs w:val="20"/>
      <w:lang w:eastAsia="en-US"/>
    </w:rPr>
  </w:style>
  <w:style w:type="paragraph" w:styleId="17">
    <w:name w:val="toc 3"/>
    <w:basedOn w:val="1"/>
    <w:next w:val="1"/>
    <w:pPr>
      <w:tabs>
        <w:tab w:val="left" w:pos="1470"/>
        <w:tab w:val="right" w:leader="dot" w:pos="9360"/>
      </w:tabs>
      <w:ind w:left="424" w:leftChars="202" w:firstLine="414" w:firstLineChars="197"/>
    </w:pPr>
  </w:style>
  <w:style w:type="character" w:customStyle="1" w:styleId="18">
    <w:name w:val="日期 Char"/>
    <w:link w:val="19"/>
    <w:semiHidden/>
    <w:rPr>
      <w:kern w:val="2"/>
      <w:sz w:val="21"/>
      <w:szCs w:val="24"/>
    </w:rPr>
  </w:style>
  <w:style w:type="paragraph" w:customStyle="1" w:styleId="19">
    <w:name w:val="日期1"/>
    <w:basedOn w:val="1"/>
    <w:next w:val="1"/>
    <w:link w:val="18"/>
    <w:pPr>
      <w:ind w:left="100" w:leftChars="2500"/>
    </w:pPr>
    <w:rPr>
      <w:kern w:val="2"/>
      <w:sz w:val="21"/>
      <w:szCs w:val="24"/>
    </w:rPr>
  </w:style>
  <w:style w:type="paragraph" w:styleId="20">
    <w:name w:val="批注框文本"/>
    <w:basedOn w:val="1"/>
    <w:link w:val="124"/>
    <w:rPr>
      <w:kern w:val="2"/>
      <w:sz w:val="18"/>
      <w:szCs w:val="18"/>
    </w:rPr>
  </w:style>
  <w:style w:type="paragraph" w:styleId="21">
    <w:name w:val="footer"/>
    <w:basedOn w:val="1"/>
    <w:link w:val="131"/>
    <w:pPr>
      <w:tabs>
        <w:tab w:val="center" w:pos="4153"/>
        <w:tab w:val="right" w:pos="8306"/>
      </w:tabs>
      <w:snapToGrid w:val="0"/>
      <w:jc w:val="left"/>
    </w:pPr>
    <w:rPr>
      <w:kern w:val="2"/>
      <w:sz w:val="18"/>
      <w:szCs w:val="18"/>
    </w:rPr>
  </w:style>
  <w:style w:type="paragraph" w:styleId="22">
    <w:name w:val="header"/>
    <w:basedOn w:val="1"/>
    <w:pPr>
      <w:pBdr>
        <w:bottom w:val="single" w:color="auto" w:sz="6" w:space="1"/>
      </w:pBdr>
      <w:tabs>
        <w:tab w:val="center" w:pos="4153"/>
        <w:tab w:val="right" w:pos="8306"/>
      </w:tabs>
      <w:snapToGrid w:val="0"/>
      <w:jc w:val="center"/>
    </w:pPr>
    <w:rPr>
      <w:sz w:val="18"/>
      <w:szCs w:val="18"/>
    </w:rPr>
  </w:style>
  <w:style w:type="paragraph" w:styleId="23">
    <w:name w:val="toc 1"/>
    <w:next w:val="1"/>
    <w:pPr>
      <w:tabs>
        <w:tab w:val="right" w:leader="dot" w:pos="9360"/>
      </w:tabs>
      <w:ind w:firstLine="426"/>
      <w:jc w:val="both"/>
    </w:pPr>
    <w:rPr>
      <w:rFonts w:ascii="宋体"/>
      <w:sz w:val="21"/>
    </w:rPr>
  </w:style>
  <w:style w:type="paragraph" w:styleId="24">
    <w:name w:val="toc 4"/>
    <w:basedOn w:val="1"/>
    <w:next w:val="1"/>
    <w:pPr>
      <w:ind w:left="1260" w:leftChars="600"/>
    </w:pPr>
  </w:style>
  <w:style w:type="paragraph" w:styleId="25">
    <w:name w:val="Subtitle"/>
    <w:basedOn w:val="1"/>
    <w:next w:val="1"/>
    <w:link w:val="106"/>
    <w:pPr>
      <w:spacing w:line="360" w:lineRule="auto"/>
      <w:outlineLvl w:val="2"/>
    </w:pPr>
    <w:rPr>
      <w:b/>
      <w:kern w:val="2"/>
      <w:sz w:val="30"/>
      <w:szCs w:val="28"/>
      <w:lang w:val="zh-CN" w:eastAsia="zh-CN"/>
    </w:rPr>
  </w:style>
  <w:style w:type="paragraph" w:styleId="26">
    <w:name w:val="toc 2"/>
    <w:basedOn w:val="1"/>
    <w:next w:val="1"/>
    <w:pPr>
      <w:ind w:left="420" w:leftChars="200"/>
    </w:pPr>
  </w:style>
  <w:style w:type="character" w:styleId="28">
    <w:name w:val="Strong"/>
    <w:rPr>
      <w:b/>
      <w:bCs/>
    </w:rPr>
  </w:style>
  <w:style w:type="character" w:styleId="29">
    <w:name w:val="Emphasis"/>
    <w:rPr>
      <w:color w:val="CC0000"/>
    </w:rPr>
  </w:style>
  <w:style w:type="character" w:styleId="30">
    <w:name w:val="Hyperlink"/>
    <w:rPr>
      <w:color w:val="0000FF"/>
      <w:u w:val="single"/>
    </w:rPr>
  </w:style>
  <w:style w:type="paragraph" w:customStyle="1" w:styleId="31">
    <w:name w:val="批注框文本 Char Char"/>
    <w:basedOn w:val="1"/>
    <w:link w:val="107"/>
    <w:rPr>
      <w:kern w:val="2"/>
      <w:sz w:val="18"/>
      <w:szCs w:val="18"/>
    </w:rPr>
  </w:style>
  <w:style w:type="paragraph" w:customStyle="1" w:styleId="32">
    <w:name w:val="日期2"/>
    <w:basedOn w:val="1"/>
    <w:next w:val="1"/>
    <w:link w:val="123"/>
    <w:pPr>
      <w:ind w:left="100" w:leftChars="2500"/>
    </w:pPr>
    <w:rPr>
      <w:kern w:val="2"/>
      <w:sz w:val="21"/>
      <w:szCs w:val="24"/>
    </w:rPr>
  </w:style>
  <w:style w:type="paragraph" w:customStyle="1" w:styleId="33">
    <w:name w:val="标准标志"/>
    <w:next w:val="1"/>
    <w:pPr>
      <w:shd w:val="solid" w:color="FFFFFF" w:fill="FFFFFF"/>
      <w:spacing w:line="0" w:lineRule="atLeast"/>
      <w:jc w:val="right"/>
    </w:pPr>
    <w:rPr>
      <w:b/>
      <w:w w:val="130"/>
      <w:sz w:val="96"/>
    </w:rPr>
  </w:style>
  <w:style w:type="paragraph" w:customStyle="1" w:styleId="34">
    <w:name w:val="文献分类号"/>
    <w:pPr>
      <w:widowControl w:val="0"/>
      <w:textAlignment w:val="center"/>
    </w:pPr>
    <w:rPr>
      <w:rFonts w:eastAsia="黑体"/>
      <w:sz w:val="21"/>
    </w:rPr>
  </w:style>
  <w:style w:type="paragraph" w:customStyle="1" w:styleId="35">
    <w:name w:val="五级条标题"/>
    <w:basedOn w:val="36"/>
    <w:next w:val="41"/>
    <w:pPr>
      <w:outlineLvl w:val="6"/>
    </w:pPr>
  </w:style>
  <w:style w:type="paragraph" w:customStyle="1" w:styleId="36">
    <w:name w:val="四级条标题"/>
    <w:basedOn w:val="37"/>
    <w:next w:val="41"/>
    <w:pPr>
      <w:numPr>
        <w:ilvl w:val="4"/>
        <w:numId w:val="0"/>
      </w:numPr>
      <w:outlineLvl w:val="5"/>
    </w:pPr>
  </w:style>
  <w:style w:type="paragraph" w:customStyle="1" w:styleId="37">
    <w:name w:val="三级条标题"/>
    <w:basedOn w:val="38"/>
    <w:next w:val="41"/>
    <w:pPr>
      <w:numPr>
        <w:ilvl w:val="4"/>
        <w:numId w:val="1"/>
      </w:numPr>
      <w:ind w:firstLineChars="0"/>
      <w:outlineLvl w:val="4"/>
    </w:pPr>
  </w:style>
  <w:style w:type="paragraph" w:customStyle="1" w:styleId="38">
    <w:name w:val="二级条标题"/>
    <w:basedOn w:val="39"/>
    <w:next w:val="41"/>
    <w:pPr>
      <w:ind w:left="-42" w:firstLine="42" w:firstLineChars="20"/>
      <w:outlineLvl w:val="3"/>
    </w:pPr>
  </w:style>
  <w:style w:type="paragraph" w:customStyle="1" w:styleId="39">
    <w:name w:val="一级条标题"/>
    <w:basedOn w:val="40"/>
    <w:next w:val="41"/>
    <w:link w:val="111"/>
    <w:pPr>
      <w:numPr>
        <w:ilvl w:val="1"/>
        <w:numId w:val="0"/>
      </w:numPr>
      <w:outlineLvl w:val="2"/>
    </w:pPr>
    <w:rPr>
      <w:rFonts w:ascii="黑体" w:eastAsia="黑体"/>
      <w:sz w:val="21"/>
      <w:lang w:val="en-US" w:eastAsia="zh-CN" w:bidi="ar-SA"/>
    </w:rPr>
  </w:style>
  <w:style w:type="paragraph" w:customStyle="1" w:styleId="40">
    <w:name w:val="章标题"/>
    <w:next w:val="41"/>
    <w:link w:val="112"/>
    <w:pPr>
      <w:numPr>
        <w:ilvl w:val="1"/>
        <w:numId w:val="1"/>
      </w:numPr>
      <w:spacing w:beforeLines="50" w:afterLines="50"/>
      <w:jc w:val="both"/>
      <w:outlineLvl w:val="1"/>
    </w:pPr>
    <w:rPr>
      <w:rFonts w:ascii="黑体" w:eastAsia="黑体"/>
      <w:sz w:val="21"/>
    </w:rPr>
  </w:style>
  <w:style w:type="paragraph" w:customStyle="1" w:styleId="41">
    <w:name w:val="段"/>
    <w:link w:val="116"/>
    <w:pPr>
      <w:autoSpaceDE w:val="0"/>
      <w:autoSpaceDN w:val="0"/>
      <w:ind w:firstLine="200" w:firstLineChars="200"/>
      <w:jc w:val="both"/>
    </w:pPr>
    <w:rPr>
      <w:sz w:val="21"/>
      <w:lang w:val="en-US" w:eastAsia="zh-CN" w:bidi="ar-SA"/>
    </w:rPr>
  </w:style>
  <w:style w:type="paragraph" w:customStyle="1" w:styleId="42">
    <w:name w:val="附录一级条标题"/>
    <w:basedOn w:val="43"/>
    <w:next w:val="41"/>
    <w:pPr>
      <w:numPr>
        <w:ilvl w:val="5"/>
        <w:numId w:val="0"/>
      </w:numPr>
      <w:autoSpaceDN w:val="0"/>
      <w:outlineLvl w:val="2"/>
    </w:pPr>
  </w:style>
  <w:style w:type="paragraph" w:customStyle="1" w:styleId="43">
    <w:name w:val="附录章标题"/>
    <w:next w:val="41"/>
    <w:pPr>
      <w:numPr>
        <w:ilvl w:val="5"/>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44">
    <w:name w:val="列项——（一级）"/>
    <w:pPr>
      <w:widowControl w:val="0"/>
      <w:jc w:val="both"/>
    </w:pPr>
    <w:rPr>
      <w:rFonts w:ascii="宋体"/>
      <w:sz w:val="21"/>
    </w:rPr>
  </w:style>
  <w:style w:type="paragraph" w:customStyle="1" w:styleId="45">
    <w:name w:val="前言、引言标题"/>
    <w:next w:val="1"/>
    <w:pPr>
      <w:numPr>
        <w:ilvl w:val="0"/>
        <w:numId w:val="1"/>
      </w:numPr>
      <w:shd w:val="clear" w:color="FFFFFF" w:fill="FFFFFF"/>
      <w:spacing w:before="640" w:after="560"/>
      <w:jc w:val="center"/>
      <w:outlineLvl w:val="0"/>
    </w:pPr>
    <w:rPr>
      <w:rFonts w:ascii="黑体" w:eastAsia="黑体"/>
      <w:sz w:val="32"/>
    </w:rPr>
  </w:style>
  <w:style w:type="paragraph" w:customStyle="1" w:styleId="46">
    <w:name w:val="封面标准名称"/>
    <w:pPr>
      <w:widowControl w:val="0"/>
      <w:spacing w:line="680" w:lineRule="exact"/>
      <w:jc w:val="center"/>
      <w:textAlignment w:val="center"/>
    </w:pPr>
    <w:rPr>
      <w:rFonts w:ascii="黑体" w:eastAsia="黑体"/>
      <w:sz w:val="52"/>
    </w:rPr>
  </w:style>
  <w:style w:type="paragraph" w:customStyle="1" w:styleId="47">
    <w:name w:val="附录标识"/>
    <w:basedOn w:val="45"/>
    <w:pPr>
      <w:numPr>
        <w:ilvl w:val="4"/>
        <w:numId w:val="2"/>
      </w:numPr>
      <w:tabs>
        <w:tab w:val="left" w:pos="6405"/>
      </w:tabs>
      <w:spacing w:after="200"/>
    </w:pPr>
    <w:rPr>
      <w:sz w:val="21"/>
    </w:rPr>
  </w:style>
  <w:style w:type="paragraph" w:customStyle="1" w:styleId="48">
    <w:name w:val="封面一致性程度标识"/>
    <w:pPr>
      <w:numPr>
        <w:ilvl w:val="2"/>
        <w:numId w:val="2"/>
      </w:numPr>
      <w:spacing w:before="440" w:line="400" w:lineRule="exact"/>
      <w:jc w:val="center"/>
    </w:pPr>
    <w:rPr>
      <w:rFonts w:ascii="宋体"/>
      <w:sz w:val="28"/>
    </w:rPr>
  </w:style>
  <w:style w:type="paragraph" w:customStyle="1" w:styleId="49">
    <w:name w:val="实施日期"/>
    <w:basedOn w:val="1"/>
    <w:pPr>
      <w:widowControl/>
      <w:jc w:val="right"/>
    </w:pPr>
    <w:rPr>
      <w:rFonts w:eastAsia="黑体"/>
      <w:kern w:val="0"/>
      <w:sz w:val="28"/>
      <w:szCs w:val="20"/>
    </w:rPr>
  </w:style>
  <w:style w:type="paragraph" w:customStyle="1" w:styleId="50">
    <w:name w:val="目次、标准名称标题"/>
    <w:basedOn w:val="45"/>
    <w:next w:val="41"/>
    <w:pPr>
      <w:numPr>
        <w:ilvl w:val="0"/>
        <w:numId w:val="0"/>
      </w:numPr>
      <w:spacing w:line="460" w:lineRule="exact"/>
    </w:pPr>
  </w:style>
  <w:style w:type="paragraph" w:customStyle="1" w:styleId="51">
    <w:name w:val="封面标准英文名称"/>
    <w:pPr>
      <w:widowControl w:val="0"/>
      <w:numPr>
        <w:ilvl w:val="1"/>
        <w:numId w:val="2"/>
      </w:numPr>
      <w:spacing w:before="370" w:line="400" w:lineRule="exact"/>
      <w:jc w:val="center"/>
    </w:pPr>
    <w:rPr>
      <w:sz w:val="28"/>
    </w:rPr>
  </w:style>
  <w:style w:type="paragraph" w:customStyle="1" w:styleId="52">
    <w:name w:val="封面标准号1"/>
    <w:pPr>
      <w:widowControl w:val="0"/>
      <w:kinsoku w:val="0"/>
      <w:overflowPunct w:val="0"/>
      <w:autoSpaceDE w:val="0"/>
      <w:autoSpaceDN w:val="0"/>
      <w:spacing w:before="308"/>
      <w:jc w:val="right"/>
      <w:textAlignment w:val="center"/>
    </w:pPr>
    <w:rPr>
      <w:sz w:val="28"/>
    </w:rPr>
  </w:style>
  <w:style w:type="paragraph" w:customStyle="1" w:styleId="53">
    <w:name w:val="四级无标题条"/>
    <w:basedOn w:val="1"/>
    <w:pPr>
      <w:numPr>
        <w:ilvl w:val="5"/>
        <w:numId w:val="3"/>
      </w:numPr>
    </w:pPr>
  </w:style>
  <w:style w:type="paragraph" w:customStyle="1" w:styleId="54">
    <w:name w:val="字母编号列项（一级）"/>
    <w:pPr>
      <w:ind w:left="840" w:leftChars="200" w:hanging="420" w:hangingChars="200"/>
      <w:jc w:val="both"/>
    </w:pPr>
    <w:rPr>
      <w:rFonts w:ascii="宋体"/>
      <w:sz w:val="21"/>
    </w:rPr>
  </w:style>
  <w:style w:type="paragraph" w:customStyle="1" w:styleId="55">
    <w:name w:val="三级无标题条"/>
    <w:basedOn w:val="1"/>
    <w:link w:val="125"/>
    <w:pPr>
      <w:numPr>
        <w:ilvl w:val="4"/>
        <w:numId w:val="3"/>
      </w:numPr>
      <w:ind w:right="100" w:rightChars="100"/>
    </w:pPr>
    <w:rPr>
      <w:kern w:val="2"/>
      <w:sz w:val="21"/>
      <w:szCs w:val="24"/>
    </w:rPr>
  </w:style>
  <w:style w:type="paragraph" w:customStyle="1" w:styleId="56">
    <w:name w:val="一级无标题条"/>
    <w:basedOn w:val="1"/>
    <w:pPr>
      <w:numPr>
        <w:ilvl w:val="2"/>
        <w:numId w:val="3"/>
      </w:numPr>
    </w:pPr>
  </w:style>
  <w:style w:type="paragraph" w:customStyle="1" w:styleId="57">
    <w:name w:val="列出段落1"/>
    <w:basedOn w:val="1"/>
    <w:pPr>
      <w:ind w:firstLine="420" w:firstLineChars="200"/>
    </w:pPr>
  </w:style>
  <w:style w:type="paragraph" w:customStyle="1" w:styleId="58">
    <w:name w:val="TOC 标题1"/>
    <w:basedOn w:val="2"/>
    <w:next w:val="1"/>
    <w:pPr>
      <w:keepLines/>
      <w:tabs>
        <w:tab w:val="clear" w:pos="420"/>
      </w:tabs>
      <w:spacing w:before="480" w:line="276" w:lineRule="auto"/>
      <w:outlineLvl w:val="9"/>
    </w:pPr>
    <w:rPr>
      <w:rFonts w:ascii="Cambria" w:hAnsi="Cambria" w:cs="Times New Roman"/>
      <w:color w:val="365F91"/>
      <w:spacing w:val="0"/>
      <w:sz w:val="28"/>
      <w:szCs w:val="28"/>
    </w:rPr>
  </w:style>
  <w:style w:type="paragraph" w:customStyle="1" w:styleId="59">
    <w:name w:val="附录二级条标题"/>
    <w:basedOn w:val="42"/>
    <w:next w:val="41"/>
    <w:pPr>
      <w:outlineLvl w:val="3"/>
    </w:pPr>
  </w:style>
  <w:style w:type="paragraph" w:customStyle="1" w:styleId="60">
    <w:name w:val="列项·"/>
    <w:pPr>
      <w:numPr>
        <w:ilvl w:val="0"/>
        <w:numId w:val="4"/>
      </w:numPr>
      <w:tabs>
        <w:tab w:val="left" w:pos="840"/>
        <w:tab w:val="clear" w:pos="1140"/>
      </w:tabs>
      <w:jc w:val="both"/>
    </w:pPr>
    <w:rPr>
      <w:rFonts w:ascii="宋体"/>
      <w:sz w:val="21"/>
    </w:rPr>
  </w:style>
  <w:style w:type="paragraph" w:customStyle="1" w:styleId="61">
    <w:name w:val="列项——"/>
    <w:pPr>
      <w:widowControl w:val="0"/>
      <w:numPr>
        <w:ilvl w:val="0"/>
        <w:numId w:val="5"/>
      </w:numPr>
      <w:tabs>
        <w:tab w:val="left" w:pos="854"/>
        <w:tab w:val="clear" w:pos="1140"/>
      </w:tabs>
      <w:ind w:left="200" w:leftChars="200" w:hanging="200" w:hangingChars="200"/>
      <w:jc w:val="both"/>
    </w:pPr>
    <w:rPr>
      <w:rFonts w:ascii="宋体"/>
      <w:sz w:val="21"/>
    </w:rPr>
  </w:style>
  <w:style w:type="paragraph" w:customStyle="1" w:styleId="62">
    <w:name w:val="修订1"/>
    <w:rPr>
      <w:kern w:val="2"/>
      <w:sz w:val="21"/>
      <w:szCs w:val="24"/>
    </w:rPr>
  </w:style>
  <w:style w:type="paragraph" w:customStyle="1" w:styleId="63">
    <w:name w:val="五级无标题条"/>
    <w:basedOn w:val="1"/>
    <w:pPr>
      <w:numPr>
        <w:ilvl w:val="6"/>
        <w:numId w:val="3"/>
      </w:numPr>
    </w:pPr>
  </w:style>
  <w:style w:type="paragraph" w:customStyle="1" w:styleId="64">
    <w:name w:val="批注主题11"/>
    <w:basedOn w:val="14"/>
    <w:next w:val="14"/>
    <w:rPr>
      <w:b/>
      <w:bCs/>
    </w:rPr>
  </w:style>
  <w:style w:type="paragraph" w:customStyle="1" w:styleId="65">
    <w:name w:val="文档结构图1"/>
    <w:basedOn w:val="1"/>
    <w:pPr>
      <w:shd w:val="clear" w:color="auto" w:fill="000080"/>
    </w:pPr>
  </w:style>
  <w:style w:type="paragraph" w:customStyle="1" w:styleId="66">
    <w:name w:val="发布部门"/>
    <w:next w:val="41"/>
    <w:pPr>
      <w:jc w:val="center"/>
    </w:pPr>
    <w:rPr>
      <w:rFonts w:ascii="宋体"/>
      <w:b/>
      <w:spacing w:val="20"/>
      <w:w w:val="135"/>
      <w:sz w:val="36"/>
    </w:rPr>
  </w:style>
  <w:style w:type="paragraph" w:customStyle="1" w:styleId="67">
    <w:name w:val="附录四级条标题"/>
    <w:basedOn w:val="68"/>
    <w:next w:val="41"/>
    <w:pPr>
      <w:outlineLvl w:val="5"/>
    </w:pPr>
  </w:style>
  <w:style w:type="paragraph" w:customStyle="1" w:styleId="68">
    <w:name w:val="附录三级条标题"/>
    <w:basedOn w:val="59"/>
    <w:next w:val="41"/>
    <w:pPr>
      <w:outlineLvl w:val="4"/>
    </w:pPr>
  </w:style>
  <w:style w:type="paragraph" w:customStyle="1" w:styleId="69">
    <w:name w:val="正文缩进1"/>
    <w:basedOn w:val="1"/>
    <w:pPr>
      <w:spacing w:after="120"/>
      <w:ind w:firstLine="454"/>
    </w:pPr>
    <w:rPr>
      <w:sz w:val="24"/>
      <w:szCs w:val="20"/>
    </w:rPr>
  </w:style>
  <w:style w:type="paragraph" w:customStyle="1" w:styleId="70">
    <w:name w:val="纯文本1"/>
    <w:basedOn w:val="1"/>
    <w:rPr>
      <w:rFonts w:ascii="宋体" w:hAnsi="Courier New"/>
      <w:szCs w:val="20"/>
    </w:rPr>
  </w:style>
  <w:style w:type="paragraph" w:customStyle="1" w:styleId="71">
    <w:name w:val="普通(网站)1"/>
    <w:basedOn w:val="1"/>
    <w:pPr>
      <w:widowControl/>
      <w:spacing w:before="100" w:beforeAutospacing="1" w:after="100" w:afterAutospacing="1"/>
      <w:jc w:val="left"/>
    </w:pPr>
    <w:rPr>
      <w:rFonts w:ascii="宋体" w:hAnsi="宋体" w:cs="宋体"/>
      <w:kern w:val="0"/>
      <w:sz w:val="24"/>
    </w:rPr>
  </w:style>
  <w:style w:type="paragraph" w:customStyle="1" w:styleId="72">
    <w:name w:val="发布日期"/>
    <w:rPr>
      <w:rFonts w:eastAsia="黑体"/>
      <w:sz w:val="28"/>
    </w:rPr>
  </w:style>
  <w:style w:type="paragraph" w:customStyle="1" w:styleId="73">
    <w:name w:val="TABLE-cell"/>
    <w:basedOn w:val="1"/>
    <w:pPr>
      <w:widowControl/>
      <w:snapToGrid w:val="0"/>
      <w:spacing w:before="60" w:after="60"/>
      <w:jc w:val="left"/>
    </w:pPr>
    <w:rPr>
      <w:rFonts w:ascii="Arial" w:hAnsi="Arial" w:eastAsia="Times New Roman" w:cs="Arial"/>
      <w:spacing w:val="8"/>
      <w:kern w:val="0"/>
      <w:sz w:val="16"/>
      <w:szCs w:val="16"/>
    </w:rPr>
  </w:style>
  <w:style w:type="paragraph" w:customStyle="1" w:styleId="74">
    <w:name w:val="封面标准文稿类别"/>
    <w:pPr>
      <w:spacing w:before="440" w:line="400" w:lineRule="exact"/>
      <w:jc w:val="center"/>
    </w:pPr>
    <w:rPr>
      <w:rFonts w:ascii="宋体"/>
      <w:sz w:val="24"/>
    </w:rPr>
  </w:style>
  <w:style w:type="paragraph" w:customStyle="1" w:styleId="75">
    <w:name w:val="附录五级条标题"/>
    <w:basedOn w:val="67"/>
    <w:next w:val="41"/>
    <w:pPr>
      <w:outlineLvl w:val="6"/>
    </w:pPr>
  </w:style>
  <w:style w:type="paragraph" w:customStyle="1" w:styleId="76">
    <w:name w:val="Char"/>
    <w:basedOn w:val="1"/>
    <w:pPr>
      <w:widowControl/>
      <w:spacing w:after="160" w:line="240" w:lineRule="exact"/>
      <w:jc w:val="left"/>
    </w:pPr>
    <w:rPr>
      <w:rFonts w:eastAsia="Times New Roman"/>
      <w:kern w:val="0"/>
      <w:sz w:val="20"/>
      <w:szCs w:val="20"/>
    </w:rPr>
  </w:style>
  <w:style w:type="paragraph" w:customStyle="1" w:styleId="77">
    <w:name w:val="封面正文"/>
    <w:pPr>
      <w:numPr>
        <w:ilvl w:val="3"/>
        <w:numId w:val="2"/>
      </w:numPr>
      <w:jc w:val="both"/>
    </w:pPr>
  </w:style>
  <w:style w:type="paragraph" w:customStyle="1" w:styleId="78">
    <w:name w:val="标准称谓"/>
    <w:next w:val="1"/>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79">
    <w:name w:val="二级无标题条"/>
    <w:basedOn w:val="1"/>
    <w:pPr>
      <w:numPr>
        <w:ilvl w:val="3"/>
        <w:numId w:val="3"/>
      </w:numPr>
      <w:ind w:right="100" w:rightChars="100"/>
    </w:pPr>
  </w:style>
  <w:style w:type="paragraph" w:customStyle="1" w:styleId="80">
    <w:name w:val="注："/>
    <w:next w:val="41"/>
    <w:pPr>
      <w:widowControl w:val="0"/>
      <w:numPr>
        <w:ilvl w:val="0"/>
        <w:numId w:val="6"/>
      </w:numPr>
      <w:autoSpaceDE w:val="0"/>
      <w:autoSpaceDN w:val="0"/>
      <w:jc w:val="both"/>
    </w:pPr>
    <w:rPr>
      <w:rFonts w:ascii="宋体"/>
      <w:sz w:val="18"/>
    </w:rPr>
  </w:style>
  <w:style w:type="paragraph" w:customStyle="1" w:styleId="81">
    <w:name w:val="修订2"/>
    <w:rPr>
      <w:kern w:val="2"/>
      <w:sz w:val="21"/>
      <w:szCs w:val="24"/>
    </w:rPr>
  </w:style>
  <w:style w:type="paragraph" w:customStyle="1" w:styleId="82">
    <w:name w:val="列出段落2"/>
    <w:basedOn w:val="1"/>
    <w:pPr>
      <w:ind w:firstLine="420" w:firstLineChars="200"/>
    </w:pPr>
  </w:style>
  <w:style w:type="paragraph" w:customStyle="1" w:styleId="83">
    <w:name w:val="Paragraph-regular"/>
    <w:basedOn w:val="1"/>
    <w:pPr>
      <w:ind w:firstLine="284"/>
    </w:pPr>
  </w:style>
  <w:style w:type="paragraph" w:customStyle="1" w:styleId="84">
    <w:name w:val="正文表标题"/>
    <w:next w:val="1"/>
    <w:pPr>
      <w:tabs>
        <w:tab w:val="left" w:pos="360"/>
      </w:tabs>
      <w:spacing w:beforeLines="50" w:afterLines="50"/>
      <w:jc w:val="center"/>
    </w:pPr>
    <w:rPr>
      <w:rFonts w:ascii="黑体" w:eastAsia="黑体"/>
      <w:sz w:val="21"/>
    </w:rPr>
  </w:style>
  <w:style w:type="paragraph" w:customStyle="1" w:styleId="85">
    <w:name w:val="数字编号列项（二级）"/>
    <w:pPr>
      <w:numPr>
        <w:ilvl w:val="1"/>
        <w:numId w:val="7"/>
      </w:numPr>
      <w:tabs>
        <w:tab w:val="left" w:pos="840"/>
      </w:tabs>
      <w:jc w:val="both"/>
    </w:pPr>
    <w:rPr>
      <w:rFonts w:ascii="宋体"/>
      <w:sz w:val="21"/>
    </w:rPr>
  </w:style>
  <w:style w:type="paragraph" w:customStyle="1" w:styleId="86">
    <w:name w:val="列表段落1"/>
    <w:basedOn w:val="1"/>
    <w:pPr>
      <w:widowControl/>
      <w:ind w:firstLine="420" w:firstLineChars="200"/>
      <w:jc w:val="left"/>
    </w:pPr>
    <w:rPr>
      <w:rFonts w:ascii="Calibri" w:hAnsi="Calibri"/>
      <w:szCs w:val="22"/>
    </w:rPr>
  </w:style>
  <w:style w:type="paragraph" w:customStyle="1" w:styleId="87">
    <w:name w:val="列出段落3"/>
    <w:basedOn w:val="1"/>
    <w:link w:val="127"/>
    <w:pPr>
      <w:ind w:firstLine="420" w:firstLineChars="200"/>
    </w:pPr>
    <w:rPr>
      <w:kern w:val="2"/>
      <w:sz w:val="21"/>
      <w:szCs w:val="24"/>
    </w:rPr>
  </w:style>
  <w:style w:type="paragraph" w:customStyle="1" w:styleId="88">
    <w:name w:val="样式1"/>
    <w:basedOn w:val="55"/>
    <w:next w:val="55"/>
    <w:link w:val="126"/>
    <w:pPr>
      <w:numPr>
        <w:ilvl w:val="4"/>
        <w:numId w:val="0"/>
      </w:numPr>
      <w:spacing w:line="276" w:lineRule="auto"/>
      <w:ind w:left="210" w:right="210"/>
    </w:pPr>
    <w:rPr>
      <w:rFonts w:hAnsi="黑体"/>
      <w:kern w:val="2"/>
      <w:sz w:val="21"/>
      <w:szCs w:val="24"/>
    </w:rPr>
  </w:style>
  <w:style w:type="paragraph" w:customStyle="1" w:styleId="89">
    <w:name w:val="四级标题"/>
    <w:basedOn w:val="87"/>
    <w:link w:val="128"/>
    <w:pPr>
      <w:spacing w:line="360" w:lineRule="auto"/>
      <w:ind w:firstLine="0" w:firstLineChars="0"/>
      <w:outlineLvl w:val="3"/>
    </w:pPr>
    <w:rPr>
      <w:rFonts w:ascii="黑体" w:eastAsia="黑体"/>
      <w:kern w:val="2"/>
      <w:sz w:val="21"/>
      <w:szCs w:val="24"/>
    </w:rPr>
  </w:style>
  <w:style w:type="paragraph" w:customStyle="1" w:styleId="90">
    <w:name w:val="日期3"/>
    <w:basedOn w:val="1"/>
    <w:next w:val="1"/>
    <w:link w:val="130"/>
    <w:pPr>
      <w:ind w:left="100" w:leftChars="2500"/>
    </w:pPr>
    <w:rPr>
      <w:kern w:val="2"/>
      <w:sz w:val="21"/>
      <w:szCs w:val="24"/>
    </w:rPr>
  </w:style>
  <w:style w:type="paragraph" w:customStyle="1" w:styleId="91">
    <w:name w:val="二级标题"/>
    <w:basedOn w:val="1"/>
    <w:link w:val="132"/>
    <w:pPr>
      <w:widowControl/>
      <w:tabs>
        <w:tab w:val="left" w:pos="284"/>
      </w:tabs>
      <w:spacing w:beforeLines="100" w:afterLines="50"/>
      <w:ind w:left="401" w:hanging="401" w:hangingChars="191"/>
      <w:outlineLvl w:val="1"/>
    </w:pPr>
    <w:rPr>
      <w:rFonts w:ascii="黑体" w:hAnsi="宋体" w:eastAsia="黑体"/>
      <w:sz w:val="21"/>
      <w:szCs w:val="28"/>
    </w:rPr>
  </w:style>
  <w:style w:type="paragraph" w:customStyle="1" w:styleId="92">
    <w:name w:val="Default"/>
    <w:pPr>
      <w:widowControl w:val="0"/>
      <w:autoSpaceDE w:val="0"/>
      <w:autoSpaceDN w:val="0"/>
      <w:adjustRightInd w:val="0"/>
    </w:pPr>
    <w:rPr>
      <w:rFonts w:ascii="宋体" w:cs="宋体"/>
      <w:color w:val="000000"/>
      <w:sz w:val="24"/>
      <w:szCs w:val="24"/>
    </w:rPr>
  </w:style>
  <w:style w:type="paragraph" w:customStyle="1" w:styleId="93">
    <w:name w:val="List Paragraph"/>
    <w:basedOn w:val="1"/>
    <w:pPr>
      <w:ind w:firstLine="420" w:firstLineChars="200"/>
    </w:pPr>
  </w:style>
  <w:style w:type="paragraph" w:customStyle="1" w:styleId="94">
    <w:name w:val="附录表标号"/>
    <w:basedOn w:val="1"/>
    <w:next w:val="41"/>
    <w:pPr>
      <w:numPr>
        <w:ilvl w:val="0"/>
        <w:numId w:val="8"/>
      </w:numPr>
      <w:spacing w:line="14" w:lineRule="exact"/>
      <w:ind w:left="811" w:hanging="448"/>
      <w:jc w:val="center"/>
      <w:outlineLvl w:val="0"/>
    </w:pPr>
    <w:rPr>
      <w:color w:val="FFFFFF"/>
    </w:rPr>
  </w:style>
  <w:style w:type="paragraph" w:customStyle="1" w:styleId="95">
    <w:name w:val="附录表标题"/>
    <w:basedOn w:val="1"/>
    <w:next w:val="41"/>
    <w:pPr>
      <w:numPr>
        <w:ilvl w:val="1"/>
        <w:numId w:val="8"/>
      </w:numPr>
      <w:tabs>
        <w:tab w:val="left" w:pos="0"/>
        <w:tab w:val="left" w:pos="180"/>
      </w:tabs>
      <w:spacing w:beforeLines="50" w:afterLines="50"/>
      <w:ind w:left="0" w:firstLine="0"/>
      <w:jc w:val="center"/>
    </w:pPr>
    <w:rPr>
      <w:rFonts w:ascii="黑体" w:eastAsia="黑体"/>
      <w:szCs w:val="21"/>
    </w:rPr>
  </w:style>
  <w:style w:type="character" w:customStyle="1" w:styleId="96">
    <w:name w:val="标题 1 字符"/>
    <w:link w:val="2"/>
    <w:semiHidden/>
    <w:rPr>
      <w:rFonts w:ascii="Arial" w:hAnsi="Arial" w:cs="Arial"/>
      <w:b/>
      <w:bCs/>
      <w:spacing w:val="8"/>
      <w:kern w:val="2"/>
      <w:sz w:val="22"/>
      <w:szCs w:val="22"/>
    </w:rPr>
  </w:style>
  <w:style w:type="character" w:customStyle="1" w:styleId="97">
    <w:name w:val="标题 2 字符"/>
    <w:link w:val="3"/>
    <w:semiHidden/>
    <w:rPr>
      <w:rFonts w:ascii="Arial" w:hAnsi="Arial" w:cs="Arial"/>
      <w:b/>
      <w:bCs/>
      <w:spacing w:val="8"/>
      <w:kern w:val="2"/>
      <w:sz w:val="22"/>
      <w:szCs w:val="22"/>
    </w:rPr>
  </w:style>
  <w:style w:type="character" w:customStyle="1" w:styleId="98">
    <w:name w:val="标题 3 字符"/>
    <w:link w:val="4"/>
    <w:semiHidden/>
    <w:rPr>
      <w:rFonts w:ascii="Arial" w:hAnsi="Arial" w:eastAsia="宋体" w:cs="Arial"/>
      <w:b/>
      <w:bCs/>
      <w:spacing w:val="8"/>
      <w:sz w:val="22"/>
      <w:szCs w:val="22"/>
      <w:lang w:eastAsia="zh-CN" w:bidi="ar-SA"/>
    </w:rPr>
  </w:style>
  <w:style w:type="character" w:customStyle="1" w:styleId="99">
    <w:name w:val="标题 4 字符"/>
    <w:link w:val="6"/>
    <w:semiHidden/>
    <w:rPr>
      <w:rFonts w:ascii="Arial" w:hAnsi="Arial" w:eastAsia="宋体" w:cs="Arial"/>
      <w:b/>
      <w:bCs/>
      <w:spacing w:val="8"/>
      <w:sz w:val="22"/>
      <w:szCs w:val="22"/>
      <w:lang w:eastAsia="zh-CN" w:bidi="ar-SA"/>
    </w:rPr>
  </w:style>
  <w:style w:type="character" w:customStyle="1" w:styleId="100">
    <w:name w:val="标题 5 字符"/>
    <w:link w:val="7"/>
    <w:semiHidden/>
    <w:rPr>
      <w:rFonts w:ascii="Arial" w:hAnsi="Arial" w:eastAsia="宋体" w:cs="Arial"/>
      <w:b/>
      <w:bCs/>
      <w:spacing w:val="8"/>
      <w:sz w:val="22"/>
      <w:szCs w:val="22"/>
      <w:lang w:eastAsia="zh-CN" w:bidi="ar-SA"/>
    </w:rPr>
  </w:style>
  <w:style w:type="character" w:customStyle="1" w:styleId="101">
    <w:name w:val="标题 6 字符"/>
    <w:link w:val="8"/>
    <w:semiHidden/>
    <w:rPr>
      <w:rFonts w:ascii="Arial" w:hAnsi="Arial" w:eastAsia="宋体" w:cs="Arial"/>
      <w:b/>
      <w:bCs/>
      <w:spacing w:val="8"/>
      <w:sz w:val="22"/>
      <w:szCs w:val="22"/>
      <w:lang w:eastAsia="zh-CN" w:bidi="ar-SA"/>
    </w:rPr>
  </w:style>
  <w:style w:type="character" w:customStyle="1" w:styleId="102">
    <w:name w:val="标题 7 字符"/>
    <w:link w:val="9"/>
    <w:semiHidden/>
    <w:rPr>
      <w:rFonts w:ascii="Arial" w:hAnsi="Arial" w:eastAsia="宋体" w:cs="Arial"/>
      <w:b/>
      <w:bCs/>
      <w:spacing w:val="8"/>
      <w:sz w:val="22"/>
      <w:szCs w:val="22"/>
      <w:lang w:eastAsia="zh-CN" w:bidi="ar-SA"/>
    </w:rPr>
  </w:style>
  <w:style w:type="character" w:customStyle="1" w:styleId="103">
    <w:name w:val="标题 8 字符"/>
    <w:link w:val="10"/>
    <w:semiHidden/>
    <w:rPr>
      <w:rFonts w:ascii="Arial" w:hAnsi="Arial" w:eastAsia="宋体" w:cs="Arial"/>
      <w:b/>
      <w:bCs/>
      <w:spacing w:val="8"/>
      <w:sz w:val="22"/>
      <w:szCs w:val="22"/>
      <w:lang w:eastAsia="zh-CN" w:bidi="ar-SA"/>
    </w:rPr>
  </w:style>
  <w:style w:type="character" w:customStyle="1" w:styleId="104">
    <w:name w:val="标题 9 字符"/>
    <w:link w:val="11"/>
    <w:semiHidden/>
    <w:rPr>
      <w:rFonts w:ascii="Arial" w:hAnsi="Arial" w:eastAsia="宋体" w:cs="Arial"/>
      <w:b/>
      <w:bCs/>
      <w:spacing w:val="8"/>
      <w:sz w:val="22"/>
      <w:szCs w:val="22"/>
      <w:lang w:eastAsia="zh-CN" w:bidi="ar-SA"/>
    </w:rPr>
  </w:style>
  <w:style w:type="character" w:customStyle="1" w:styleId="105">
    <w:name w:val="批注文字 字符"/>
    <w:link w:val="14"/>
    <w:semiHidden/>
    <w:rPr>
      <w:kern w:val="2"/>
      <w:sz w:val="21"/>
      <w:szCs w:val="24"/>
    </w:rPr>
  </w:style>
  <w:style w:type="character" w:customStyle="1" w:styleId="106">
    <w:name w:val="副标题 字符"/>
    <w:link w:val="25"/>
    <w:semiHidden/>
    <w:rPr>
      <w:b/>
      <w:kern w:val="2"/>
      <w:sz w:val="30"/>
      <w:szCs w:val="28"/>
      <w:lang w:val="zh-CN" w:eastAsia="zh-CN"/>
    </w:rPr>
  </w:style>
  <w:style w:type="character" w:customStyle="1" w:styleId="107">
    <w:name w:val="批注框文本 Char Char Char Char"/>
    <w:link w:val="31"/>
    <w:semiHidden/>
    <w:rPr>
      <w:kern w:val="2"/>
      <w:sz w:val="18"/>
      <w:szCs w:val="18"/>
    </w:rPr>
  </w:style>
  <w:style w:type="character" w:customStyle="1" w:styleId="108">
    <w:name w:val="PARAGRAPH Char Char"/>
    <w:link w:val="5"/>
    <w:semiHidden/>
    <w:rPr>
      <w:rFonts w:ascii="Arial" w:hAnsi="Arial" w:cs="Arial"/>
      <w:spacing w:val="8"/>
      <w:lang w:eastAsia="zh-CN" w:bidi="ar-SA"/>
    </w:rPr>
  </w:style>
  <w:style w:type="character" w:customStyle="1" w:styleId="109">
    <w:name w:val="e"/>
    <w:basedOn w:val="27"/>
    <w:rPr/>
  </w:style>
  <w:style w:type="character" w:customStyle="1" w:styleId="110">
    <w:name w:val="页码1"/>
    <w:basedOn w:val="27"/>
    <w:rPr/>
  </w:style>
  <w:style w:type="character" w:customStyle="1" w:styleId="111">
    <w:name w:val="一级条标题 Char Char"/>
    <w:link w:val="39"/>
    <w:semiHidden/>
    <w:rPr>
      <w:rFonts w:ascii="黑体" w:eastAsia="黑体"/>
      <w:sz w:val="21"/>
      <w:lang w:val="en-US" w:eastAsia="zh-CN" w:bidi="ar-SA"/>
    </w:rPr>
  </w:style>
  <w:style w:type="character" w:customStyle="1" w:styleId="112">
    <w:name w:val="章标题 Char Char"/>
    <w:link w:val="40"/>
    <w:semiHidden/>
    <w:rPr>
      <w:rFonts w:ascii="黑体" w:eastAsia="黑体"/>
      <w:sz w:val="21"/>
    </w:rPr>
  </w:style>
  <w:style w:type="character" w:customStyle="1" w:styleId="113">
    <w:name w:val="text_img ed_imgfloat_left"/>
    <w:basedOn w:val="27"/>
    <w:rPr/>
  </w:style>
  <w:style w:type="character" w:customStyle="1" w:styleId="114">
    <w:name w:val="批注引用1"/>
    <w:rPr>
      <w:sz w:val="21"/>
      <w:szCs w:val="21"/>
    </w:rPr>
  </w:style>
  <w:style w:type="character" w:customStyle="1" w:styleId="115">
    <w:name w:val="发布"/>
    <w:rPr>
      <w:rFonts w:ascii="黑体" w:eastAsia="黑体"/>
      <w:spacing w:val="22"/>
      <w:w w:val="100"/>
      <w:position w:val="3"/>
      <w:sz w:val="28"/>
    </w:rPr>
  </w:style>
  <w:style w:type="character" w:customStyle="1" w:styleId="116">
    <w:name w:val="段 Char Char"/>
    <w:link w:val="41"/>
    <w:semiHidden/>
    <w:rPr>
      <w:sz w:val="21"/>
      <w:lang w:val="en-US" w:eastAsia="zh-CN" w:bidi="ar-SA"/>
    </w:rPr>
  </w:style>
  <w:style w:type="character" w:customStyle="1" w:styleId="117">
    <w:name w:val="HTML 代码1"/>
    <w:rPr>
      <w:rFonts w:ascii="Courier New" w:hAnsi="Courier New"/>
      <w:sz w:val="20"/>
      <w:szCs w:val="20"/>
    </w:rPr>
  </w:style>
  <w:style w:type="character" w:customStyle="1" w:styleId="118">
    <w:name w:val="批注引用2"/>
    <w:rPr>
      <w:sz w:val="21"/>
      <w:szCs w:val="21"/>
    </w:rPr>
  </w:style>
  <w:style w:type="character" w:customStyle="1" w:styleId="119">
    <w:name w:val="段 Char Char Char"/>
    <w:rPr>
      <w:rFonts w:ascii="宋体" w:hAnsi="Times New Roman" w:eastAsia="宋体" w:cs="Times New Roman"/>
      <w:kern w:val="0"/>
      <w:szCs w:val="20"/>
    </w:rPr>
  </w:style>
  <w:style w:type="character" w:customStyle="1" w:styleId="120">
    <w:name w:val="一级条标题 Char Char Char"/>
    <w:rPr>
      <w:rFonts w:ascii="黑体" w:hAnsi="Times New Roman" w:eastAsia="黑体" w:cs="Times New Roman"/>
      <w:kern w:val="0"/>
      <w:szCs w:val="20"/>
    </w:rPr>
  </w:style>
  <w:style w:type="character" w:customStyle="1" w:styleId="121">
    <w:name w:val="skip"/>
  </w:style>
  <w:style w:type="character" w:customStyle="1" w:styleId="122">
    <w:name w:val="apple-converted-space"/>
  </w:style>
  <w:style w:type="character" w:customStyle="1" w:styleId="123">
    <w:name w:val="日期 Char1"/>
    <w:link w:val="32"/>
    <w:semiHidden/>
    <w:rPr>
      <w:kern w:val="2"/>
      <w:sz w:val="21"/>
      <w:szCs w:val="24"/>
    </w:rPr>
  </w:style>
  <w:style w:type="character" w:customStyle="1" w:styleId="124">
    <w:name w:val="批注框文本 字符"/>
    <w:link w:val="20"/>
    <w:semiHidden/>
    <w:rPr>
      <w:kern w:val="2"/>
      <w:sz w:val="18"/>
      <w:szCs w:val="18"/>
    </w:rPr>
  </w:style>
  <w:style w:type="character" w:customStyle="1" w:styleId="125">
    <w:name w:val="三级无标题条 字符"/>
    <w:link w:val="55"/>
    <w:semiHidden/>
    <w:rPr>
      <w:kern w:val="2"/>
      <w:sz w:val="21"/>
      <w:szCs w:val="24"/>
    </w:rPr>
  </w:style>
  <w:style w:type="character" w:customStyle="1" w:styleId="126">
    <w:name w:val="样式1 字符"/>
    <w:link w:val="88"/>
    <w:semiHidden/>
    <w:rPr>
      <w:rFonts w:hAnsi="黑体"/>
      <w:kern w:val="2"/>
      <w:sz w:val="21"/>
      <w:szCs w:val="24"/>
    </w:rPr>
  </w:style>
  <w:style w:type="character" w:customStyle="1" w:styleId="127">
    <w:name w:val="列表段落 字符"/>
    <w:link w:val="87"/>
    <w:semiHidden/>
    <w:rPr>
      <w:kern w:val="2"/>
      <w:sz w:val="21"/>
      <w:szCs w:val="24"/>
    </w:rPr>
  </w:style>
  <w:style w:type="character" w:customStyle="1" w:styleId="128">
    <w:name w:val="四级标题 Char Char"/>
    <w:link w:val="89"/>
    <w:semiHidden/>
    <w:rPr>
      <w:rFonts w:ascii="黑体" w:eastAsia="黑体"/>
      <w:kern w:val="2"/>
      <w:sz w:val="21"/>
      <w:szCs w:val="24"/>
    </w:rPr>
  </w:style>
  <w:style w:type="character" w:customStyle="1" w:styleId="129">
    <w:name w:val="段 Char Char Char Char"/>
    <w:rPr>
      <w:rFonts w:ascii="宋体" w:hAnsi="Times New Roman" w:eastAsia="宋体" w:cs="Times New Roman"/>
      <w:kern w:val="0"/>
      <w:szCs w:val="20"/>
    </w:rPr>
  </w:style>
  <w:style w:type="character" w:customStyle="1" w:styleId="130">
    <w:name w:val="日期 字符"/>
    <w:link w:val="90"/>
    <w:semiHidden/>
    <w:rPr>
      <w:kern w:val="2"/>
      <w:sz w:val="21"/>
      <w:szCs w:val="24"/>
    </w:rPr>
  </w:style>
  <w:style w:type="character" w:customStyle="1" w:styleId="131">
    <w:name w:val="页脚 字符"/>
    <w:link w:val="21"/>
    <w:semiHidden/>
    <w:rPr>
      <w:kern w:val="2"/>
      <w:sz w:val="18"/>
      <w:szCs w:val="18"/>
    </w:rPr>
  </w:style>
  <w:style w:type="character" w:customStyle="1" w:styleId="132">
    <w:name w:val="二级标题 Char Char"/>
    <w:basedOn w:val="27"/>
    <w:link w:val="91"/>
    <w:semiHidden/>
    <w:rPr>
      <w:rFonts w:ascii="黑体" w:hAnsi="宋体" w:eastAsia="黑体"/>
      <w:sz w:val="21"/>
      <w:szCs w:val="2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header" Target="header3.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5" textRotate="1"/>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1670</Words>
  <Characters>9524</Characters>
  <Lines>79</Lines>
  <Paragraphs>22</Paragraphs>
  <TotalTime>0</TotalTime>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2019-12-20T16:52:00Z</dcterms:created>
  <dc:creator>USER</dc:creator>
  <cp:lastPrinted>2019-12-20T17:03:00Z</cp:lastPrinted>
  <dcterms:modified xsi:type="dcterms:W3CDTF">2019-12-23T08:42:19Z</dcterms:modified>
  <dc:title>lenovo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