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B4" w:rsidRPr="002A79B4" w:rsidRDefault="002A79B4" w:rsidP="002A79B4">
      <w:pPr>
        <w:widowControl/>
        <w:spacing w:before="100" w:beforeAutospacing="1" w:after="100" w:afterAutospacing="1"/>
        <w:jc w:val="left"/>
        <w:outlineLvl w:val="0"/>
        <w:rPr>
          <w:rFonts w:ascii="Arial" w:eastAsia="宋体" w:hAnsi="Arial" w:cs="Arial"/>
          <w:b/>
          <w:bCs/>
          <w:color w:val="000000"/>
          <w:kern w:val="36"/>
          <w:sz w:val="48"/>
          <w:szCs w:val="48"/>
        </w:rPr>
      </w:pPr>
      <w:r w:rsidRPr="002A79B4">
        <w:rPr>
          <w:rFonts w:ascii="宋体" w:eastAsia="宋体" w:hAnsi="宋体" w:cs="Arial" w:hint="eastAsia"/>
          <w:b/>
          <w:bCs/>
          <w:color w:val="000000"/>
          <w:kern w:val="36"/>
          <w:sz w:val="27"/>
          <w:szCs w:val="27"/>
        </w:rPr>
        <w:t>1.产品简介</w:t>
      </w:r>
    </w:p>
    <w:p w:rsidR="002A79B4" w:rsidRPr="002A79B4" w:rsidRDefault="002A79B4" w:rsidP="002A79B4">
      <w:pPr>
        <w:widowControl/>
        <w:spacing w:before="100" w:beforeAutospacing="1" w:after="100" w:afterAutospacing="1"/>
        <w:jc w:val="left"/>
        <w:outlineLvl w:val="1"/>
        <w:rPr>
          <w:rFonts w:ascii="Arial" w:eastAsia="宋体" w:hAnsi="Arial" w:cs="Arial"/>
          <w:b/>
          <w:bCs/>
          <w:color w:val="000000"/>
          <w:kern w:val="0"/>
          <w:sz w:val="36"/>
          <w:szCs w:val="36"/>
        </w:rPr>
      </w:pPr>
      <w:r w:rsidRPr="002A79B4">
        <w:rPr>
          <w:rFonts w:ascii="宋体" w:eastAsia="宋体" w:hAnsi="宋体" w:cs="Arial" w:hint="eastAsia"/>
          <w:b/>
          <w:bCs/>
          <w:color w:val="000000"/>
          <w:kern w:val="0"/>
          <w:sz w:val="27"/>
          <w:szCs w:val="27"/>
        </w:rPr>
        <w:t>1.1产品概述</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很多行业生产工序需要用到或会产生有潜在毒性或爆炸性的气体，RS-MG41-1是我司针对含有易爆炸气体或者有毒气体的环境研发的一款本安型复合式检测仪，该检测仪采用自然扩散方式检测气体，采用电化学、燃烧式气体传感器，具有极好的灵敏度和出色的重复性，产品可检测氧气、可燃气、一氧化碳、硫化氢四种气体。产品可储存检测数据高达13万条，配合软件可随时查看历史数据。</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产品使用和维护方便 ，满足工业现场安全监测对设备高可靠性的要求，外壳采用高强度工程塑料，复合防滑橡胶制成，强度高，手感好，并且防水、防尘、防爆。</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本检测仪广泛应用于石油、化工、环保、冶金、炼化、燃气输配、生化医药、农业等行业。</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本产品设计、制造、检定遵守以下国家标准：</w:t>
      </w:r>
    </w:p>
    <w:p w:rsidR="002A79B4" w:rsidRPr="002A79B4" w:rsidRDefault="002A79B4" w:rsidP="002A79B4">
      <w:pPr>
        <w:widowControl/>
        <w:spacing w:before="84" w:after="84"/>
        <w:ind w:firstLine="469"/>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GB3836.1- -2010 《爆炸性环境第1部分：设备通用要求》</w:t>
      </w:r>
    </w:p>
    <w:p w:rsidR="002A79B4" w:rsidRPr="002A79B4" w:rsidRDefault="002A79B4" w:rsidP="002A79B4">
      <w:pPr>
        <w:widowControl/>
        <w:spacing w:before="84" w:after="84"/>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    GB3836.4 - -2010《爆炸性环境第4部分：由本质安全型“</w:t>
      </w:r>
      <w:proofErr w:type="spellStart"/>
      <w:r w:rsidRPr="002A79B4">
        <w:rPr>
          <w:rFonts w:ascii="宋体" w:eastAsia="宋体" w:hAnsi="宋体" w:cs="Arial" w:hint="eastAsia"/>
          <w:color w:val="000000"/>
          <w:kern w:val="0"/>
          <w:sz w:val="27"/>
          <w:szCs w:val="27"/>
        </w:rPr>
        <w:t>i</w:t>
      </w:r>
      <w:proofErr w:type="spellEnd"/>
      <w:r w:rsidRPr="002A79B4">
        <w:rPr>
          <w:rFonts w:ascii="宋体" w:eastAsia="宋体" w:hAnsi="宋体" w:cs="Arial" w:hint="eastAsia"/>
          <w:color w:val="000000"/>
          <w:kern w:val="0"/>
          <w:sz w:val="27"/>
          <w:szCs w:val="27"/>
        </w:rPr>
        <w:t>”保护的设备》</w:t>
      </w:r>
    </w:p>
    <w:p w:rsidR="002A79B4" w:rsidRPr="002A79B4" w:rsidRDefault="002A79B4" w:rsidP="002A79B4">
      <w:pPr>
        <w:widowControl/>
        <w:spacing w:before="84" w:after="84"/>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    GB15322.3- -2003 《便携式可燃气体探测器第3部分：测量范围为(0-100 ) % LEL的便携式可燃气体探测器》</w:t>
      </w:r>
    </w:p>
    <w:p w:rsidR="002A79B4" w:rsidRPr="002A79B4" w:rsidRDefault="002A79B4" w:rsidP="002A79B4">
      <w:pPr>
        <w:widowControl/>
        <w:spacing w:before="84" w:after="84"/>
        <w:ind w:firstLine="469"/>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JJG693- -2011 《可燃气体检测报警器的检定规程》</w:t>
      </w:r>
    </w:p>
    <w:p w:rsidR="002A79B4" w:rsidRPr="002A79B4" w:rsidRDefault="002A79B4" w:rsidP="002A79B4">
      <w:pPr>
        <w:widowControl/>
        <w:spacing w:before="84" w:after="84"/>
        <w:ind w:firstLine="469"/>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lastRenderedPageBreak/>
        <w:t>JJG 365 - - 2008电化学氧测定仪检定规程</w:t>
      </w:r>
    </w:p>
    <w:p w:rsidR="002A79B4" w:rsidRPr="002A79B4" w:rsidRDefault="002A79B4" w:rsidP="002A79B4">
      <w:pPr>
        <w:widowControl/>
        <w:spacing w:before="84" w:after="84"/>
        <w:ind w:firstLine="469"/>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JJG695- 2003 硫化氢气体检测仪检定规程</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JJG915- 2008 一氧化碳检测报警器检定规程</w:t>
      </w:r>
    </w:p>
    <w:p w:rsidR="002A79B4" w:rsidRPr="002A79B4" w:rsidRDefault="002A79B4" w:rsidP="002A79B4">
      <w:pPr>
        <w:widowControl/>
        <w:spacing w:before="100" w:beforeAutospacing="1" w:after="100" w:afterAutospacing="1"/>
        <w:jc w:val="left"/>
        <w:outlineLvl w:val="1"/>
        <w:rPr>
          <w:rFonts w:ascii="Arial" w:eastAsia="宋体" w:hAnsi="Arial" w:cs="Arial"/>
          <w:b/>
          <w:bCs/>
          <w:color w:val="000000"/>
          <w:kern w:val="0"/>
          <w:sz w:val="36"/>
          <w:szCs w:val="36"/>
        </w:rPr>
      </w:pPr>
      <w:r>
        <w:rPr>
          <w:rFonts w:ascii="宋体" w:eastAsia="宋体" w:hAnsi="宋体" w:cs="Arial"/>
          <w:b/>
          <w:bCs/>
          <w:noProof/>
          <w:color w:val="000000"/>
          <w:kern w:val="0"/>
          <w:sz w:val="27"/>
          <w:szCs w:val="27"/>
        </w:rPr>
        <w:drawing>
          <wp:inline distT="0" distB="0" distL="0" distR="0">
            <wp:extent cx="5709920" cy="5709920"/>
            <wp:effectExtent l="19050" t="0" r="5080" b="0"/>
            <wp:docPr id="1" name="图片 1" descr="QQ截图20200525164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25164647.png"/>
                    <pic:cNvPicPr>
                      <a:picLocks noChangeAspect="1" noChangeArrowheads="1"/>
                    </pic:cNvPicPr>
                  </pic:nvPicPr>
                  <pic:blipFill>
                    <a:blip r:embed="rId6"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2A79B4" w:rsidRPr="002A79B4" w:rsidRDefault="002A79B4" w:rsidP="002A79B4">
      <w:pPr>
        <w:widowControl/>
        <w:spacing w:before="100" w:beforeAutospacing="1" w:after="100" w:afterAutospacing="1"/>
        <w:jc w:val="left"/>
        <w:outlineLvl w:val="1"/>
        <w:rPr>
          <w:rFonts w:ascii="Arial" w:eastAsia="宋体" w:hAnsi="Arial" w:cs="Arial"/>
          <w:b/>
          <w:bCs/>
          <w:color w:val="000000"/>
          <w:kern w:val="0"/>
          <w:sz w:val="36"/>
          <w:szCs w:val="36"/>
        </w:rPr>
      </w:pPr>
      <w:r w:rsidRPr="002A79B4">
        <w:rPr>
          <w:rFonts w:ascii="宋体" w:eastAsia="宋体" w:hAnsi="宋体" w:cs="Arial" w:hint="eastAsia"/>
          <w:b/>
          <w:bCs/>
          <w:color w:val="000000"/>
          <w:kern w:val="0"/>
          <w:sz w:val="27"/>
          <w:szCs w:val="27"/>
        </w:rPr>
        <w:t>1.2功能特点</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产品采用电化学、燃烧式传感器，具有极好的灵敏度和重复性</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产品外壳强度高，属于本安型防爆产品</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lastRenderedPageBreak/>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高清彩屏设计，方便查看气体状态</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产品可检测氧气、可燃气、一氧化碳、硫化氢四种气体</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可设置高低限报警值</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全功能自测试，产品采用声光震动三级报警</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快捷键快速开启关闭声音报警以及储存模式</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储存数据最高13万条，配合软件随时查看历史数据</w:t>
      </w:r>
    </w:p>
    <w:p w:rsidR="002A79B4" w:rsidRPr="002A79B4" w:rsidRDefault="002A79B4" w:rsidP="002A79B4">
      <w:pPr>
        <w:widowControl/>
        <w:spacing w:before="84" w:after="84"/>
        <w:ind w:left="469"/>
        <w:jc w:val="left"/>
        <w:rPr>
          <w:rFonts w:ascii="Arial" w:eastAsia="宋体" w:hAnsi="Arial" w:cs="Arial"/>
          <w:color w:val="000000"/>
          <w:kern w:val="0"/>
          <w:sz w:val="27"/>
          <w:szCs w:val="27"/>
        </w:rPr>
      </w:pPr>
      <w:r w:rsidRPr="002A79B4">
        <w:rPr>
          <w:rFonts w:ascii="Wingdings" w:eastAsia="宋体" w:hAnsi="Wingdings" w:cs="Arial"/>
          <w:color w:val="000000"/>
          <w:kern w:val="0"/>
          <w:sz w:val="27"/>
          <w:szCs w:val="27"/>
        </w:rPr>
        <w:t></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大容量电池，常亮模式下，设备可持续使用至少8小时</w:t>
      </w:r>
    </w:p>
    <w:p w:rsidR="002A79B4" w:rsidRPr="002A79B4" w:rsidRDefault="002A79B4" w:rsidP="002A79B4">
      <w:pPr>
        <w:widowControl/>
        <w:spacing w:before="84" w:after="84"/>
        <w:jc w:val="left"/>
        <w:rPr>
          <w:rFonts w:ascii="Arial" w:eastAsia="宋体" w:hAnsi="Arial" w:cs="Arial"/>
          <w:color w:val="000000"/>
          <w:kern w:val="0"/>
          <w:sz w:val="27"/>
          <w:szCs w:val="27"/>
        </w:rPr>
      </w:pPr>
      <w:r>
        <w:rPr>
          <w:rFonts w:ascii="宋体" w:eastAsia="宋体" w:hAnsi="宋体" w:cs="Arial"/>
          <w:noProof/>
          <w:color w:val="000000"/>
          <w:kern w:val="0"/>
          <w:sz w:val="27"/>
          <w:szCs w:val="27"/>
        </w:rPr>
        <w:lastRenderedPageBreak/>
        <w:drawing>
          <wp:inline distT="0" distB="0" distL="0" distR="0">
            <wp:extent cx="5709920" cy="5709920"/>
            <wp:effectExtent l="19050" t="0" r="5080" b="0"/>
            <wp:docPr id="2" name="图片 2" descr="QQ截图2020052516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25164720.png"/>
                    <pic:cNvPicPr>
                      <a:picLocks noChangeAspect="1" noChangeArrowheads="1"/>
                    </pic:cNvPicPr>
                  </pic:nvPicPr>
                  <pic:blipFill>
                    <a:blip r:embed="rId7"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1.3技术指标</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2529"/>
        <w:gridCol w:w="1719"/>
        <w:gridCol w:w="1989"/>
        <w:gridCol w:w="2394"/>
      </w:tblGrid>
      <w:tr w:rsidR="002A79B4" w:rsidRPr="002A79B4" w:rsidTr="002A79B4">
        <w:tc>
          <w:tcPr>
            <w:tcW w:w="1530"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检测气体</w:t>
            </w:r>
          </w:p>
        </w:tc>
        <w:tc>
          <w:tcPr>
            <w:tcW w:w="198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一氧化碳（CO）</w:t>
            </w:r>
          </w:p>
        </w:tc>
        <w:tc>
          <w:tcPr>
            <w:tcW w:w="156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硫化氢（H2S）</w:t>
            </w:r>
          </w:p>
        </w:tc>
        <w:tc>
          <w:tcPr>
            <w:tcW w:w="184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可燃气（CH4）</w:t>
            </w:r>
          </w:p>
        </w:tc>
        <w:tc>
          <w:tcPr>
            <w:tcW w:w="202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氧气（O2）</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检测量程</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 xml:space="preserve">0-1000   </w:t>
            </w:r>
            <w:proofErr w:type="spellStart"/>
            <w:r w:rsidRPr="002A79B4">
              <w:rPr>
                <w:rFonts w:ascii="宋体" w:eastAsia="宋体" w:hAnsi="宋体" w:cs="宋体" w:hint="eastAsia"/>
                <w:kern w:val="0"/>
                <w:sz w:val="27"/>
                <w:szCs w:val="27"/>
              </w:rPr>
              <w:t>ppm</w:t>
            </w:r>
            <w:proofErr w:type="spellEnd"/>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0-100ppm</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0-100%   LEL</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0.0-30.0%VOL</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检测内容</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 xml:space="preserve">70/300/700   </w:t>
            </w:r>
            <w:proofErr w:type="spellStart"/>
            <w:r w:rsidRPr="002A79B4">
              <w:rPr>
                <w:rFonts w:ascii="宋体" w:eastAsia="宋体" w:hAnsi="宋体" w:cs="宋体" w:hint="eastAsia"/>
                <w:kern w:val="0"/>
                <w:sz w:val="27"/>
                <w:szCs w:val="27"/>
              </w:rPr>
              <w:t>ppm</w:t>
            </w:r>
            <w:proofErr w:type="spellEnd"/>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20/50/80ppm</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10%/40%/60%</w:t>
            </w:r>
          </w:p>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LEL</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5.0%/15.0%/25.0%</w:t>
            </w:r>
          </w:p>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VOL</w:t>
            </w:r>
          </w:p>
        </w:tc>
      </w:tr>
      <w:tr w:rsidR="002A79B4" w:rsidRPr="002A79B4" w:rsidTr="002A79B4">
        <w:tc>
          <w:tcPr>
            <w:tcW w:w="1530"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lastRenderedPageBreak/>
              <w:t>示值误差</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绝对误差：±5ppm</w:t>
            </w:r>
          </w:p>
        </w:tc>
        <w:tc>
          <w:tcPr>
            <w:tcW w:w="1560" w:type="dxa"/>
            <w:vMerge w:val="restart"/>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spacing w:line="670" w:lineRule="atLeast"/>
              <w:ind w:firstLine="234"/>
              <w:jc w:val="center"/>
              <w:rPr>
                <w:rFonts w:ascii="宋体" w:eastAsia="宋体" w:hAnsi="宋体" w:cs="宋体"/>
                <w:kern w:val="0"/>
                <w:sz w:val="24"/>
                <w:szCs w:val="24"/>
              </w:rPr>
            </w:pPr>
            <w:r w:rsidRPr="002A79B4">
              <w:rPr>
                <w:rFonts w:ascii="宋体" w:eastAsia="宋体" w:hAnsi="宋体" w:cs="宋体" w:hint="eastAsia"/>
                <w:kern w:val="0"/>
                <w:sz w:val="27"/>
                <w:szCs w:val="27"/>
              </w:rPr>
              <w:t xml:space="preserve">±5 </w:t>
            </w:r>
            <w:proofErr w:type="spellStart"/>
            <w:r w:rsidRPr="002A79B4">
              <w:rPr>
                <w:rFonts w:ascii="宋体" w:eastAsia="宋体" w:hAnsi="宋体" w:cs="宋体" w:hint="eastAsia"/>
                <w:kern w:val="0"/>
                <w:sz w:val="27"/>
                <w:szCs w:val="27"/>
              </w:rPr>
              <w:t>ppm</w:t>
            </w:r>
            <w:proofErr w:type="spellEnd"/>
          </w:p>
        </w:tc>
        <w:tc>
          <w:tcPr>
            <w:tcW w:w="1845" w:type="dxa"/>
            <w:vMerge w:val="restart"/>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spacing w:line="670" w:lineRule="atLeast"/>
              <w:jc w:val="center"/>
              <w:rPr>
                <w:rFonts w:ascii="宋体" w:eastAsia="宋体" w:hAnsi="宋体" w:cs="宋体"/>
                <w:kern w:val="0"/>
                <w:sz w:val="24"/>
                <w:szCs w:val="24"/>
              </w:rPr>
            </w:pPr>
            <w:r w:rsidRPr="002A79B4">
              <w:rPr>
                <w:rFonts w:ascii="宋体" w:eastAsia="宋体" w:hAnsi="宋体" w:cs="宋体" w:hint="eastAsia"/>
                <w:kern w:val="0"/>
                <w:sz w:val="27"/>
                <w:szCs w:val="27"/>
              </w:rPr>
              <w:t>±5%FS</w:t>
            </w:r>
          </w:p>
        </w:tc>
        <w:tc>
          <w:tcPr>
            <w:tcW w:w="2025" w:type="dxa"/>
            <w:vMerge w:val="restart"/>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spacing w:line="670" w:lineRule="atLeast"/>
              <w:jc w:val="center"/>
              <w:rPr>
                <w:rFonts w:ascii="宋体" w:eastAsia="宋体" w:hAnsi="宋体" w:cs="宋体"/>
                <w:kern w:val="0"/>
                <w:sz w:val="24"/>
                <w:szCs w:val="24"/>
              </w:rPr>
            </w:pPr>
            <w:r w:rsidRPr="002A79B4">
              <w:rPr>
                <w:rFonts w:ascii="宋体" w:eastAsia="宋体" w:hAnsi="宋体" w:cs="宋体" w:hint="eastAsia"/>
                <w:kern w:val="0"/>
                <w:sz w:val="27"/>
                <w:szCs w:val="27"/>
              </w:rPr>
              <w:t>±3%FS</w:t>
            </w:r>
          </w:p>
        </w:tc>
      </w:tr>
      <w:tr w:rsidR="002A79B4" w:rsidRPr="002A79B4" w:rsidTr="002A79B4">
        <w:tc>
          <w:tcPr>
            <w:tcW w:w="0" w:type="auto"/>
            <w:vMerge/>
            <w:tcBorders>
              <w:top w:val="nil"/>
              <w:left w:val="single" w:sz="6" w:space="0" w:color="auto"/>
              <w:bottom w:val="single" w:sz="6" w:space="0" w:color="auto"/>
              <w:right w:val="single" w:sz="6" w:space="0" w:color="auto"/>
            </w:tcBorders>
            <w:vAlign w:val="center"/>
            <w:hideMark/>
          </w:tcPr>
          <w:p w:rsidR="002A79B4" w:rsidRPr="002A79B4" w:rsidRDefault="002A79B4" w:rsidP="002A79B4">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相对误差：±10%</w:t>
            </w:r>
          </w:p>
        </w:tc>
        <w:tc>
          <w:tcPr>
            <w:tcW w:w="0" w:type="auto"/>
            <w:vMerge/>
            <w:tcBorders>
              <w:top w:val="nil"/>
              <w:left w:val="nil"/>
              <w:bottom w:val="single" w:sz="6" w:space="0" w:color="auto"/>
              <w:right w:val="single" w:sz="6" w:space="0" w:color="auto"/>
            </w:tcBorders>
            <w:vAlign w:val="center"/>
            <w:hideMark/>
          </w:tcPr>
          <w:p w:rsidR="002A79B4" w:rsidRPr="002A79B4" w:rsidRDefault="002A79B4" w:rsidP="002A79B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A79B4" w:rsidRPr="002A79B4" w:rsidRDefault="002A79B4" w:rsidP="002A79B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A79B4" w:rsidRPr="002A79B4" w:rsidRDefault="002A79B4" w:rsidP="002A79B4">
            <w:pPr>
              <w:widowControl/>
              <w:jc w:val="left"/>
              <w:rPr>
                <w:rFonts w:ascii="宋体" w:eastAsia="宋体" w:hAnsi="宋体" w:cs="宋体"/>
                <w:kern w:val="0"/>
                <w:sz w:val="24"/>
                <w:szCs w:val="24"/>
              </w:rPr>
            </w:pP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重复值</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w:t>
            </w:r>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零点漂移</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±3ppm</w:t>
            </w:r>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±5ppm</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±2%FS</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量程漂移</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±5%</w:t>
            </w:r>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±5ppm</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±3%FS</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报警动作值</w:t>
            </w:r>
          </w:p>
        </w:tc>
        <w:tc>
          <w:tcPr>
            <w:tcW w:w="198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50/150ppm</w:t>
            </w:r>
          </w:p>
        </w:tc>
        <w:tc>
          <w:tcPr>
            <w:tcW w:w="15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10/35ppm</w:t>
            </w:r>
          </w:p>
        </w:tc>
        <w:tc>
          <w:tcPr>
            <w:tcW w:w="184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20/50%LEL</w:t>
            </w:r>
          </w:p>
        </w:tc>
        <w:tc>
          <w:tcPr>
            <w:tcW w:w="20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19.5/23.5%VOL</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响应时间</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扩散式≤60S</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绝缘电阻</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≥20MΩ</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报警功能</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声、光、震动</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工作环境：</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温度-10℃-50℃；湿度&lt;95%RH无结露</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工作电</w:t>
            </w:r>
            <w:r w:rsidRPr="002A79B4">
              <w:rPr>
                <w:rFonts w:ascii="宋体" w:eastAsia="宋体" w:hAnsi="宋体" w:cs="宋体" w:hint="eastAsia"/>
                <w:kern w:val="0"/>
                <w:sz w:val="27"/>
                <w:szCs w:val="27"/>
              </w:rPr>
              <w:lastRenderedPageBreak/>
              <w:t>压：</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lastRenderedPageBreak/>
              <w:t>DC3.7V   (锂电池容量3000mAh)</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lastRenderedPageBreak/>
              <w:t>防爆标志：</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 xml:space="preserve">Ex   </w:t>
            </w:r>
            <w:proofErr w:type="spellStart"/>
            <w:r w:rsidRPr="002A79B4">
              <w:rPr>
                <w:rFonts w:ascii="宋体" w:eastAsia="宋体" w:hAnsi="宋体" w:cs="宋体" w:hint="eastAsia"/>
                <w:kern w:val="0"/>
                <w:sz w:val="27"/>
                <w:szCs w:val="27"/>
              </w:rPr>
              <w:t>ib</w:t>
            </w:r>
            <w:proofErr w:type="spellEnd"/>
            <w:r w:rsidRPr="002A79B4">
              <w:rPr>
                <w:rFonts w:ascii="宋体" w:eastAsia="宋体" w:hAnsi="宋体" w:cs="宋体" w:hint="eastAsia"/>
                <w:kern w:val="0"/>
                <w:sz w:val="27"/>
                <w:szCs w:val="27"/>
              </w:rPr>
              <w:t xml:space="preserve"> IIB T3 </w:t>
            </w:r>
            <w:proofErr w:type="spellStart"/>
            <w:r w:rsidRPr="002A79B4">
              <w:rPr>
                <w:rFonts w:ascii="宋体" w:eastAsia="宋体" w:hAnsi="宋体" w:cs="宋体" w:hint="eastAsia"/>
                <w:kern w:val="0"/>
                <w:sz w:val="27"/>
                <w:szCs w:val="27"/>
              </w:rPr>
              <w:t>Gb</w:t>
            </w:r>
            <w:proofErr w:type="spellEnd"/>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充电时间：</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6h-8h</w:t>
            </w:r>
          </w:p>
        </w:tc>
      </w:tr>
      <w:tr w:rsidR="002A79B4" w:rsidRPr="002A79B4" w:rsidTr="002A79B4">
        <w:tc>
          <w:tcPr>
            <w:tcW w:w="153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待机时间：</w:t>
            </w:r>
          </w:p>
        </w:tc>
        <w:tc>
          <w:tcPr>
            <w:tcW w:w="7410" w:type="dxa"/>
            <w:gridSpan w:val="4"/>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宋体" w:eastAsia="宋体" w:hAnsi="宋体" w:cs="宋体"/>
                <w:kern w:val="0"/>
                <w:sz w:val="24"/>
                <w:szCs w:val="24"/>
              </w:rPr>
            </w:pPr>
            <w:r w:rsidRPr="002A79B4">
              <w:rPr>
                <w:rFonts w:ascii="宋体" w:eastAsia="宋体" w:hAnsi="宋体" w:cs="宋体" w:hint="eastAsia"/>
                <w:kern w:val="0"/>
                <w:sz w:val="27"/>
                <w:szCs w:val="27"/>
              </w:rPr>
              <w:t>大于8h连续</w:t>
            </w:r>
          </w:p>
        </w:tc>
      </w:tr>
    </w:tbl>
    <w:p w:rsidR="002A79B4" w:rsidRPr="002A79B4" w:rsidRDefault="002A79B4" w:rsidP="002A79B4">
      <w:pPr>
        <w:widowControl/>
        <w:jc w:val="left"/>
        <w:rPr>
          <w:rFonts w:ascii="宋体" w:eastAsia="宋体" w:hAnsi="宋体" w:cs="宋体"/>
          <w:kern w:val="0"/>
          <w:sz w:val="24"/>
          <w:szCs w:val="24"/>
        </w:rPr>
      </w:pPr>
      <w:r w:rsidRPr="002A79B4">
        <w:rPr>
          <w:rFonts w:ascii="宋体" w:eastAsia="宋体" w:hAnsi="宋体" w:cs="宋体" w:hint="eastAsia"/>
          <w:color w:val="000000"/>
          <w:kern w:val="0"/>
          <w:sz w:val="27"/>
          <w:szCs w:val="27"/>
        </w:rPr>
        <w:t>2.产品选型</w:t>
      </w:r>
      <w:r w:rsidRPr="002A79B4">
        <w:rPr>
          <w:rFonts w:ascii="宋体" w:eastAsia="宋体" w:hAnsi="宋体" w:cs="宋体" w:hint="eastAsia"/>
          <w:color w:val="000000"/>
          <w:kern w:val="0"/>
          <w:sz w:val="27"/>
          <w:szCs w:val="27"/>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2259"/>
        <w:gridCol w:w="1314"/>
        <w:gridCol w:w="1425"/>
        <w:gridCol w:w="1425"/>
      </w:tblGrid>
      <w:tr w:rsidR="002A79B4" w:rsidRPr="002A79B4" w:rsidTr="002A79B4">
        <w:tc>
          <w:tcPr>
            <w:tcW w:w="7095" w:type="dxa"/>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wordWrap w:val="0"/>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RS-MG41-1常规气体检测范围</w:t>
            </w:r>
          </w:p>
        </w:tc>
      </w:tr>
      <w:tr w:rsidR="002A79B4" w:rsidRPr="002A79B4" w:rsidTr="002A79B4">
        <w:tc>
          <w:tcPr>
            <w:tcW w:w="142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气体种类</w:t>
            </w:r>
          </w:p>
        </w:tc>
        <w:tc>
          <w:tcPr>
            <w:tcW w:w="1650"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量程</w:t>
            </w:r>
          </w:p>
        </w:tc>
        <w:tc>
          <w:tcPr>
            <w:tcW w:w="118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低报警点</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高报警点</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分辨率</w:t>
            </w:r>
          </w:p>
        </w:tc>
      </w:tr>
      <w:tr w:rsidR="002A79B4" w:rsidRPr="002A79B4" w:rsidTr="002A79B4">
        <w:tc>
          <w:tcPr>
            <w:tcW w:w="142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EX</w:t>
            </w:r>
          </w:p>
        </w:tc>
        <w:tc>
          <w:tcPr>
            <w:tcW w:w="1650"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(0-100)   %LEL</w:t>
            </w:r>
          </w:p>
        </w:tc>
        <w:tc>
          <w:tcPr>
            <w:tcW w:w="118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20%LEL</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50%LEL</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1%LEL</w:t>
            </w:r>
          </w:p>
        </w:tc>
      </w:tr>
      <w:tr w:rsidR="002A79B4" w:rsidRPr="002A79B4" w:rsidTr="002A79B4">
        <w:tc>
          <w:tcPr>
            <w:tcW w:w="142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H2S</w:t>
            </w:r>
          </w:p>
        </w:tc>
        <w:tc>
          <w:tcPr>
            <w:tcW w:w="1650"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 xml:space="preserve">(0-100)   </w:t>
            </w:r>
            <w:proofErr w:type="spellStart"/>
            <w:r w:rsidRPr="002A79B4">
              <w:rPr>
                <w:rFonts w:ascii="宋体" w:eastAsia="宋体" w:hAnsi="宋体" w:cs="Arial" w:hint="eastAsia"/>
                <w:color w:val="000000"/>
                <w:kern w:val="0"/>
                <w:sz w:val="27"/>
                <w:szCs w:val="27"/>
              </w:rPr>
              <w:t>ppm</w:t>
            </w:r>
            <w:proofErr w:type="spellEnd"/>
          </w:p>
        </w:tc>
        <w:tc>
          <w:tcPr>
            <w:tcW w:w="118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10ppm</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35ppm</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1ppm</w:t>
            </w:r>
          </w:p>
        </w:tc>
      </w:tr>
      <w:tr w:rsidR="002A79B4" w:rsidRPr="002A79B4" w:rsidTr="002A79B4">
        <w:tc>
          <w:tcPr>
            <w:tcW w:w="142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CO</w:t>
            </w:r>
          </w:p>
        </w:tc>
        <w:tc>
          <w:tcPr>
            <w:tcW w:w="1650"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 xml:space="preserve">(0-1000)   </w:t>
            </w:r>
            <w:proofErr w:type="spellStart"/>
            <w:r w:rsidRPr="002A79B4">
              <w:rPr>
                <w:rFonts w:ascii="宋体" w:eastAsia="宋体" w:hAnsi="宋体" w:cs="Arial" w:hint="eastAsia"/>
                <w:color w:val="000000"/>
                <w:kern w:val="0"/>
                <w:sz w:val="27"/>
                <w:szCs w:val="27"/>
              </w:rPr>
              <w:t>ppm</w:t>
            </w:r>
            <w:proofErr w:type="spellEnd"/>
          </w:p>
        </w:tc>
        <w:tc>
          <w:tcPr>
            <w:tcW w:w="118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50ppm</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150ppm</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1ppm</w:t>
            </w:r>
          </w:p>
        </w:tc>
      </w:tr>
      <w:tr w:rsidR="002A79B4" w:rsidRPr="002A79B4" w:rsidTr="002A79B4">
        <w:tc>
          <w:tcPr>
            <w:tcW w:w="142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O2</w:t>
            </w:r>
          </w:p>
        </w:tc>
        <w:tc>
          <w:tcPr>
            <w:tcW w:w="1650"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(0-30)   %</w:t>
            </w:r>
            <w:proofErr w:type="spellStart"/>
            <w:r w:rsidRPr="002A79B4">
              <w:rPr>
                <w:rFonts w:ascii="宋体" w:eastAsia="宋体" w:hAnsi="宋体" w:cs="Arial" w:hint="eastAsia"/>
                <w:color w:val="000000"/>
                <w:kern w:val="0"/>
                <w:sz w:val="27"/>
                <w:szCs w:val="27"/>
              </w:rPr>
              <w:t>vol</w:t>
            </w:r>
            <w:proofErr w:type="spellEnd"/>
          </w:p>
        </w:tc>
        <w:tc>
          <w:tcPr>
            <w:tcW w:w="118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19.5%vol</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23.5%vol</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0.1%vol</w:t>
            </w:r>
          </w:p>
        </w:tc>
      </w:tr>
    </w:tbl>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*其他组合方式请联系我司销售人员</w:t>
      </w:r>
    </w:p>
    <w:p w:rsidR="002A79B4" w:rsidRPr="002A79B4" w:rsidRDefault="002A79B4" w:rsidP="002A79B4">
      <w:pPr>
        <w:widowControl/>
        <w:spacing w:before="84" w:after="84"/>
        <w:jc w:val="left"/>
        <w:rPr>
          <w:rFonts w:ascii="Arial" w:eastAsia="宋体" w:hAnsi="Arial" w:cs="Arial"/>
          <w:color w:val="000000"/>
          <w:kern w:val="0"/>
          <w:sz w:val="27"/>
          <w:szCs w:val="27"/>
        </w:rPr>
      </w:pPr>
      <w:r>
        <w:rPr>
          <w:rFonts w:ascii="宋体" w:eastAsia="宋体" w:hAnsi="宋体" w:cs="Arial"/>
          <w:noProof/>
          <w:color w:val="000000"/>
          <w:kern w:val="0"/>
          <w:sz w:val="27"/>
          <w:szCs w:val="27"/>
        </w:rPr>
        <w:lastRenderedPageBreak/>
        <w:drawing>
          <wp:inline distT="0" distB="0" distL="0" distR="0">
            <wp:extent cx="5709920" cy="5709920"/>
            <wp:effectExtent l="19050" t="0" r="5080" b="0"/>
            <wp:docPr id="3" name="图片 3" descr="QQ截图20200525164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25164740.png"/>
                    <pic:cNvPicPr>
                      <a:picLocks noChangeAspect="1" noChangeArrowheads="1"/>
                    </pic:cNvPicPr>
                  </pic:nvPicPr>
                  <pic:blipFill>
                    <a:blip r:embed="rId8"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3.充电功能说明</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当电量低于10%时，设备每隔两分钟发出一次报警（声光震动）直至设备关机。</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在设备关机状态下，将充电器接入便携式检测仪，另一端接入AC220V交流电源上，检测仪充满电后电量显示满格，可正常使用。</w:t>
      </w:r>
    </w:p>
    <w:p w:rsidR="002A79B4" w:rsidRPr="002A79B4" w:rsidRDefault="002A79B4" w:rsidP="002A79B4">
      <w:pPr>
        <w:widowControl/>
        <w:spacing w:before="84" w:after="84"/>
        <w:ind w:firstLine="469"/>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 4.注意事项</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1.</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防止本机从高处跌落或受剧烈震动</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lastRenderedPageBreak/>
        <w:t>2.</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在高浓度气体环境中，或许无法正常使用本机</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3.</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请严格按照说明书使用检测仪，否则可能导致检测结果不准确或损坏本产品</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4.</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本产品不可在含有腐蚀性气体环境中使用或者存放</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5.</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如长时间未使用本设备，在次开机请预热老化10分钟再使用</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6.</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为保证检测精度，本机应定期进行标定，检定周期不得超过一年</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7.</w:t>
      </w:r>
      <w:r w:rsidRPr="002A79B4">
        <w:rPr>
          <w:rFonts w:ascii="Times New Roman" w:eastAsia="宋体" w:hAnsi="Times New Roman" w:cs="Times New Roman"/>
          <w:color w:val="000000"/>
          <w:kern w:val="0"/>
          <w:sz w:val="15"/>
          <w:szCs w:val="15"/>
        </w:rPr>
        <w:t>     </w:t>
      </w:r>
      <w:r w:rsidRPr="002A79B4">
        <w:rPr>
          <w:rFonts w:ascii="宋体" w:eastAsia="宋体" w:hAnsi="宋体" w:cs="Arial" w:hint="eastAsia"/>
          <w:color w:val="000000"/>
          <w:kern w:val="0"/>
          <w:sz w:val="27"/>
          <w:szCs w:val="27"/>
        </w:rPr>
        <w:t>在爆炸性气体环境中，不可拆卸或更换电池组，也不可对电池组进行充电。</w:t>
      </w:r>
    </w:p>
    <w:p w:rsidR="002A79B4" w:rsidRPr="002A79B4" w:rsidRDefault="002A79B4" w:rsidP="002A79B4">
      <w:pPr>
        <w:widowControl/>
        <w:spacing w:before="84" w:after="84"/>
        <w:jc w:val="left"/>
        <w:rPr>
          <w:rFonts w:ascii="Arial" w:eastAsia="宋体" w:hAnsi="Arial" w:cs="Arial"/>
          <w:color w:val="000000"/>
          <w:kern w:val="0"/>
          <w:sz w:val="27"/>
          <w:szCs w:val="27"/>
        </w:rPr>
      </w:pPr>
      <w:r>
        <w:rPr>
          <w:rFonts w:ascii="宋体" w:eastAsia="宋体" w:hAnsi="宋体" w:cs="Arial"/>
          <w:noProof/>
          <w:color w:val="000000"/>
          <w:kern w:val="0"/>
          <w:sz w:val="27"/>
          <w:szCs w:val="27"/>
        </w:rPr>
        <w:lastRenderedPageBreak/>
        <w:drawing>
          <wp:inline distT="0" distB="0" distL="0" distR="0">
            <wp:extent cx="5709920" cy="5709920"/>
            <wp:effectExtent l="19050" t="0" r="5080" b="0"/>
            <wp:docPr id="4" name="图片 4" descr="QQ截图2020052516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25164802.png"/>
                    <pic:cNvPicPr>
                      <a:picLocks noChangeAspect="1" noChangeArrowheads="1"/>
                    </pic:cNvPicPr>
                  </pic:nvPicPr>
                  <pic:blipFill>
                    <a:blip r:embed="rId9"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r w:rsidRPr="002A79B4">
        <w:rPr>
          <w:rFonts w:ascii="MS Mincho" w:eastAsia="MS Mincho" w:hAnsi="MS Mincho" w:cs="MS Mincho" w:hint="eastAsia"/>
          <w:color w:val="000000"/>
          <w:kern w:val="0"/>
          <w:sz w:val="27"/>
          <w:szCs w:val="27"/>
        </w:rPr>
        <w:t>​</w:t>
      </w:r>
    </w:p>
    <w:p w:rsidR="002A79B4" w:rsidRPr="002A79B4" w:rsidRDefault="002A79B4" w:rsidP="002A79B4">
      <w:pPr>
        <w:widowControl/>
        <w:spacing w:before="84" w:after="84"/>
        <w:jc w:val="left"/>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5.常见故障及解决方法</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5"/>
        <w:gridCol w:w="2109"/>
        <w:gridCol w:w="3476"/>
      </w:tblGrid>
      <w:tr w:rsidR="002A79B4" w:rsidRPr="002A79B4" w:rsidTr="002A79B4">
        <w:tc>
          <w:tcPr>
            <w:tcW w:w="2715" w:type="dxa"/>
            <w:tcBorders>
              <w:top w:val="single" w:sz="6" w:space="0" w:color="auto"/>
              <w:left w:val="single" w:sz="6" w:space="0" w:color="auto"/>
              <w:bottom w:val="single" w:sz="6" w:space="0" w:color="auto"/>
              <w:right w:val="single" w:sz="6" w:space="0" w:color="auto"/>
            </w:tcBorders>
            <w:shd w:val="clear" w:color="auto" w:fill="BEBEBE"/>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故障现象</w:t>
            </w:r>
          </w:p>
        </w:tc>
        <w:tc>
          <w:tcPr>
            <w:tcW w:w="1875" w:type="dxa"/>
            <w:tcBorders>
              <w:top w:val="single" w:sz="6" w:space="0" w:color="auto"/>
              <w:left w:val="nil"/>
              <w:bottom w:val="single" w:sz="6" w:space="0" w:color="auto"/>
              <w:right w:val="single" w:sz="6" w:space="0" w:color="auto"/>
            </w:tcBorders>
            <w:shd w:val="clear" w:color="auto" w:fill="BEBEBE"/>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可能故障原因</w:t>
            </w:r>
          </w:p>
        </w:tc>
        <w:tc>
          <w:tcPr>
            <w:tcW w:w="3090" w:type="dxa"/>
            <w:tcBorders>
              <w:top w:val="single" w:sz="6" w:space="0" w:color="auto"/>
              <w:left w:val="nil"/>
              <w:bottom w:val="single" w:sz="6" w:space="0" w:color="auto"/>
              <w:right w:val="single" w:sz="6" w:space="0" w:color="auto"/>
            </w:tcBorders>
            <w:shd w:val="clear" w:color="auto" w:fill="BEBEBE"/>
            <w:tcMar>
              <w:top w:w="0" w:type="dxa"/>
              <w:left w:w="117" w:type="dxa"/>
              <w:bottom w:w="0" w:type="dxa"/>
              <w:right w:w="117" w:type="dxa"/>
            </w:tcMa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处理方式</w:t>
            </w:r>
          </w:p>
        </w:tc>
      </w:tr>
      <w:tr w:rsidR="002A79B4" w:rsidRPr="002A79B4" w:rsidTr="002A79B4">
        <w:tc>
          <w:tcPr>
            <w:tcW w:w="271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无法开机</w:t>
            </w: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电压过低</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请及时充电</w:t>
            </w:r>
          </w:p>
        </w:tc>
      </w:tr>
      <w:tr w:rsidR="002A79B4" w:rsidRPr="002A79B4" w:rsidTr="002A79B4">
        <w:tc>
          <w:tcPr>
            <w:tcW w:w="0" w:type="auto"/>
            <w:vMerge/>
            <w:tcBorders>
              <w:top w:val="nil"/>
              <w:left w:val="single" w:sz="6" w:space="0" w:color="auto"/>
              <w:bottom w:val="single" w:sz="6" w:space="0" w:color="auto"/>
              <w:right w:val="single" w:sz="6" w:space="0" w:color="auto"/>
            </w:tcBorders>
            <w:vAlign w:val="center"/>
            <w:hideMark/>
          </w:tcPr>
          <w:p w:rsidR="002A79B4" w:rsidRPr="002A79B4" w:rsidRDefault="002A79B4" w:rsidP="002A79B4">
            <w:pPr>
              <w:widowControl/>
              <w:jc w:val="left"/>
              <w:rPr>
                <w:rFonts w:ascii="Arial" w:eastAsia="宋体" w:hAnsi="Arial" w:cs="Arial"/>
                <w:color w:val="000000"/>
                <w:kern w:val="0"/>
                <w:sz w:val="27"/>
                <w:szCs w:val="27"/>
              </w:rPr>
            </w:pP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死机</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请联系经销商或制造商维修</w:t>
            </w:r>
          </w:p>
        </w:tc>
      </w:tr>
      <w:tr w:rsidR="002A79B4" w:rsidRPr="002A79B4" w:rsidTr="002A79B4">
        <w:tc>
          <w:tcPr>
            <w:tcW w:w="0" w:type="auto"/>
            <w:vMerge/>
            <w:tcBorders>
              <w:top w:val="nil"/>
              <w:left w:val="single" w:sz="6" w:space="0" w:color="auto"/>
              <w:bottom w:val="single" w:sz="6" w:space="0" w:color="auto"/>
              <w:right w:val="single" w:sz="6" w:space="0" w:color="auto"/>
            </w:tcBorders>
            <w:vAlign w:val="center"/>
            <w:hideMark/>
          </w:tcPr>
          <w:p w:rsidR="002A79B4" w:rsidRPr="002A79B4" w:rsidRDefault="002A79B4" w:rsidP="002A79B4">
            <w:pPr>
              <w:widowControl/>
              <w:jc w:val="left"/>
              <w:rPr>
                <w:rFonts w:ascii="Arial" w:eastAsia="宋体" w:hAnsi="Arial" w:cs="Arial"/>
                <w:color w:val="000000"/>
                <w:kern w:val="0"/>
                <w:sz w:val="27"/>
                <w:szCs w:val="27"/>
              </w:rPr>
            </w:pP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电路故障</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请联系经销商或制造商维修</w:t>
            </w:r>
          </w:p>
        </w:tc>
      </w:tr>
      <w:tr w:rsidR="002A79B4" w:rsidRPr="002A79B4" w:rsidTr="002A79B4">
        <w:tc>
          <w:tcPr>
            <w:tcW w:w="2715" w:type="dxa"/>
            <w:tcBorders>
              <w:top w:val="nil"/>
              <w:left w:val="single" w:sz="6" w:space="0" w:color="auto"/>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检测气体无反应</w:t>
            </w:r>
          </w:p>
        </w:tc>
        <w:tc>
          <w:tcPr>
            <w:tcW w:w="1875"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电路故障</w:t>
            </w:r>
          </w:p>
        </w:tc>
        <w:tc>
          <w:tcPr>
            <w:tcW w:w="3090"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请联系经销商或制造商维修</w:t>
            </w:r>
          </w:p>
        </w:tc>
      </w:tr>
      <w:tr w:rsidR="002A79B4" w:rsidRPr="002A79B4" w:rsidTr="002A79B4">
        <w:tc>
          <w:tcPr>
            <w:tcW w:w="271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lastRenderedPageBreak/>
              <w:t>显示不准确</w:t>
            </w: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传感器超期</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请联系经销商或制造商</w:t>
            </w:r>
            <w:r w:rsidRPr="002A79B4">
              <w:rPr>
                <w:rFonts w:ascii="宋体" w:eastAsia="宋体" w:hAnsi="宋体" w:cs="Arial" w:hint="eastAsia"/>
                <w:color w:val="000000"/>
                <w:kern w:val="0"/>
                <w:sz w:val="27"/>
                <w:szCs w:val="27"/>
              </w:rPr>
              <w:br/>
              <w:t>  更换传感器</w:t>
            </w:r>
          </w:p>
        </w:tc>
      </w:tr>
      <w:tr w:rsidR="002A79B4" w:rsidRPr="002A79B4" w:rsidTr="002A79B4">
        <w:tc>
          <w:tcPr>
            <w:tcW w:w="0" w:type="auto"/>
            <w:vMerge/>
            <w:tcBorders>
              <w:top w:val="nil"/>
              <w:left w:val="single" w:sz="6" w:space="0" w:color="auto"/>
              <w:bottom w:val="single" w:sz="6" w:space="0" w:color="auto"/>
              <w:right w:val="single" w:sz="6" w:space="0" w:color="auto"/>
            </w:tcBorders>
            <w:vAlign w:val="center"/>
            <w:hideMark/>
          </w:tcPr>
          <w:p w:rsidR="002A79B4" w:rsidRPr="002A79B4" w:rsidRDefault="002A79B4" w:rsidP="002A79B4">
            <w:pPr>
              <w:widowControl/>
              <w:jc w:val="left"/>
              <w:rPr>
                <w:rFonts w:ascii="Arial" w:eastAsia="宋体" w:hAnsi="Arial" w:cs="Arial"/>
                <w:color w:val="000000"/>
                <w:kern w:val="0"/>
                <w:sz w:val="27"/>
                <w:szCs w:val="27"/>
              </w:rPr>
            </w:pP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长期未标定</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请及时标定</w:t>
            </w:r>
          </w:p>
        </w:tc>
      </w:tr>
      <w:tr w:rsidR="002A79B4" w:rsidRPr="002A79B4" w:rsidTr="002A79B4">
        <w:tc>
          <w:tcPr>
            <w:tcW w:w="2715" w:type="dxa"/>
            <w:vMerge w:val="restart"/>
            <w:tcBorders>
              <w:top w:val="nil"/>
              <w:left w:val="single" w:sz="6" w:space="0" w:color="auto"/>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时间显示错误</w:t>
            </w:r>
          </w:p>
        </w:tc>
        <w:tc>
          <w:tcPr>
            <w:tcW w:w="1875"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电池电量完全耗尽</w:t>
            </w:r>
          </w:p>
        </w:tc>
        <w:tc>
          <w:tcPr>
            <w:tcW w:w="3090"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更换RTC电池并重新设置时间</w:t>
            </w:r>
          </w:p>
        </w:tc>
      </w:tr>
      <w:tr w:rsidR="002A79B4" w:rsidRPr="002A79B4" w:rsidTr="002A79B4">
        <w:tc>
          <w:tcPr>
            <w:tcW w:w="0" w:type="auto"/>
            <w:vMerge/>
            <w:tcBorders>
              <w:top w:val="nil"/>
              <w:left w:val="single" w:sz="6" w:space="0" w:color="auto"/>
              <w:bottom w:val="single" w:sz="6" w:space="0" w:color="auto"/>
              <w:right w:val="single" w:sz="6" w:space="0" w:color="auto"/>
            </w:tcBorders>
            <w:vAlign w:val="center"/>
            <w:hideMark/>
          </w:tcPr>
          <w:p w:rsidR="002A79B4" w:rsidRPr="002A79B4" w:rsidRDefault="002A79B4" w:rsidP="002A79B4">
            <w:pPr>
              <w:widowControl/>
              <w:jc w:val="left"/>
              <w:rPr>
                <w:rFonts w:ascii="Arial" w:eastAsia="宋体" w:hAnsi="Arial" w:cs="Arial"/>
                <w:color w:val="000000"/>
                <w:kern w:val="0"/>
                <w:sz w:val="27"/>
                <w:szCs w:val="27"/>
              </w:rPr>
            </w:pPr>
          </w:p>
        </w:tc>
        <w:tc>
          <w:tcPr>
            <w:tcW w:w="1875"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强电磁干扰</w:t>
            </w:r>
          </w:p>
        </w:tc>
        <w:tc>
          <w:tcPr>
            <w:tcW w:w="3090"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重新设置时间</w:t>
            </w:r>
          </w:p>
        </w:tc>
      </w:tr>
      <w:tr w:rsidR="002A79B4" w:rsidRPr="002A79B4" w:rsidTr="002A79B4">
        <w:tc>
          <w:tcPr>
            <w:tcW w:w="271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零点校准功能不可用</w:t>
            </w: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传感器漂移过多</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及时标定或更换传感器</w:t>
            </w:r>
          </w:p>
        </w:tc>
      </w:tr>
      <w:tr w:rsidR="002A79B4" w:rsidRPr="002A79B4" w:rsidTr="002A79B4">
        <w:tc>
          <w:tcPr>
            <w:tcW w:w="2715" w:type="dxa"/>
            <w:tcBorders>
              <w:top w:val="nil"/>
              <w:left w:val="single" w:sz="6" w:space="0" w:color="auto"/>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仪器正常检测界面</w:t>
            </w:r>
          </w:p>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不归零(氧气除外)</w:t>
            </w:r>
          </w:p>
        </w:tc>
        <w:tc>
          <w:tcPr>
            <w:tcW w:w="1875"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传感器漂移</w:t>
            </w:r>
          </w:p>
        </w:tc>
        <w:tc>
          <w:tcPr>
            <w:tcW w:w="3090" w:type="dxa"/>
            <w:tcBorders>
              <w:top w:val="nil"/>
              <w:left w:val="nil"/>
              <w:bottom w:val="single" w:sz="6" w:space="0" w:color="auto"/>
              <w:right w:val="single" w:sz="6" w:space="0" w:color="auto"/>
            </w:tcBorders>
            <w:shd w:val="clear" w:color="auto" w:fill="BEBEBE"/>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进行零点校准</w:t>
            </w:r>
          </w:p>
        </w:tc>
      </w:tr>
      <w:tr w:rsidR="002A79B4" w:rsidRPr="002A79B4" w:rsidTr="002A79B4">
        <w:tc>
          <w:tcPr>
            <w:tcW w:w="271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当仪器正常检测</w:t>
            </w:r>
          </w:p>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界面显示满量程</w:t>
            </w:r>
          </w:p>
        </w:tc>
        <w:tc>
          <w:tcPr>
            <w:tcW w:w="187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传感器故障</w:t>
            </w:r>
          </w:p>
        </w:tc>
        <w:tc>
          <w:tcPr>
            <w:tcW w:w="309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2A79B4" w:rsidRPr="002A79B4" w:rsidRDefault="002A79B4" w:rsidP="002A79B4">
            <w:pPr>
              <w:widowControl/>
              <w:jc w:val="center"/>
              <w:rPr>
                <w:rFonts w:ascii="Arial" w:eastAsia="宋体" w:hAnsi="Arial" w:cs="Arial"/>
                <w:color w:val="000000"/>
                <w:kern w:val="0"/>
                <w:sz w:val="27"/>
                <w:szCs w:val="27"/>
              </w:rPr>
            </w:pPr>
            <w:r w:rsidRPr="002A79B4">
              <w:rPr>
                <w:rFonts w:ascii="宋体" w:eastAsia="宋体" w:hAnsi="宋体" w:cs="Arial" w:hint="eastAsia"/>
                <w:color w:val="000000"/>
                <w:kern w:val="0"/>
                <w:sz w:val="27"/>
                <w:szCs w:val="27"/>
              </w:rPr>
              <w:t>请联系经销商或制造商</w:t>
            </w:r>
            <w:r w:rsidRPr="002A79B4">
              <w:rPr>
                <w:rFonts w:ascii="宋体" w:eastAsia="宋体" w:hAnsi="宋体" w:cs="Arial" w:hint="eastAsia"/>
                <w:color w:val="000000"/>
                <w:kern w:val="0"/>
                <w:sz w:val="27"/>
                <w:szCs w:val="27"/>
              </w:rPr>
              <w:br/>
              <w:t>  更换传感器</w:t>
            </w:r>
          </w:p>
        </w:tc>
      </w:tr>
    </w:tbl>
    <w:p w:rsidR="007B2198" w:rsidRPr="002A79B4" w:rsidRDefault="007B2198" w:rsidP="002A79B4">
      <w:pPr>
        <w:rPr>
          <w:szCs w:val="27"/>
        </w:rPr>
      </w:pPr>
    </w:p>
    <w:sectPr w:rsidR="007B2198" w:rsidRPr="002A79B4" w:rsidSect="007B2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42" w:rsidRPr="004F3FAF" w:rsidRDefault="00DB7342" w:rsidP="00A37AEC">
      <w:pPr>
        <w:rPr>
          <w:sz w:val="24"/>
        </w:rPr>
      </w:pPr>
      <w:r>
        <w:separator/>
      </w:r>
    </w:p>
  </w:endnote>
  <w:endnote w:type="continuationSeparator" w:id="0">
    <w:p w:rsidR="00DB7342" w:rsidRPr="004F3FAF" w:rsidRDefault="00DB7342" w:rsidP="00A37AE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42" w:rsidRPr="004F3FAF" w:rsidRDefault="00DB7342" w:rsidP="00A37AEC">
      <w:pPr>
        <w:rPr>
          <w:sz w:val="24"/>
        </w:rPr>
      </w:pPr>
      <w:r>
        <w:separator/>
      </w:r>
    </w:p>
  </w:footnote>
  <w:footnote w:type="continuationSeparator" w:id="0">
    <w:p w:rsidR="00DB7342" w:rsidRPr="004F3FAF" w:rsidRDefault="00DB7342" w:rsidP="00A37AE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A9"/>
    <w:rsid w:val="00005E88"/>
    <w:rsid w:val="000557FE"/>
    <w:rsid w:val="00066552"/>
    <w:rsid w:val="0007789F"/>
    <w:rsid w:val="00094EE7"/>
    <w:rsid w:val="000A6F29"/>
    <w:rsid w:val="000C4BF8"/>
    <w:rsid w:val="000D0EA7"/>
    <w:rsid w:val="000E081C"/>
    <w:rsid w:val="000E7F90"/>
    <w:rsid w:val="00126ED4"/>
    <w:rsid w:val="00157672"/>
    <w:rsid w:val="001625A8"/>
    <w:rsid w:val="0016393D"/>
    <w:rsid w:val="00206CB2"/>
    <w:rsid w:val="0021116E"/>
    <w:rsid w:val="002A79B4"/>
    <w:rsid w:val="002B04A5"/>
    <w:rsid w:val="002E4A6C"/>
    <w:rsid w:val="00306B5C"/>
    <w:rsid w:val="00313796"/>
    <w:rsid w:val="003146FD"/>
    <w:rsid w:val="00350C11"/>
    <w:rsid w:val="00370141"/>
    <w:rsid w:val="0041554A"/>
    <w:rsid w:val="004307D3"/>
    <w:rsid w:val="00431CD3"/>
    <w:rsid w:val="00447ABF"/>
    <w:rsid w:val="00510578"/>
    <w:rsid w:val="00554F8C"/>
    <w:rsid w:val="005A7AD9"/>
    <w:rsid w:val="005B364C"/>
    <w:rsid w:val="005D0AED"/>
    <w:rsid w:val="00633D66"/>
    <w:rsid w:val="006A4122"/>
    <w:rsid w:val="00737FE4"/>
    <w:rsid w:val="007A66D2"/>
    <w:rsid w:val="007B2198"/>
    <w:rsid w:val="007B36BD"/>
    <w:rsid w:val="007D33AB"/>
    <w:rsid w:val="008473B6"/>
    <w:rsid w:val="00886489"/>
    <w:rsid w:val="008B367E"/>
    <w:rsid w:val="008B741D"/>
    <w:rsid w:val="008C5A7D"/>
    <w:rsid w:val="008F2D8E"/>
    <w:rsid w:val="009041BF"/>
    <w:rsid w:val="00960B3E"/>
    <w:rsid w:val="009621E7"/>
    <w:rsid w:val="009E694C"/>
    <w:rsid w:val="00A36DDD"/>
    <w:rsid w:val="00A37AEC"/>
    <w:rsid w:val="00A96845"/>
    <w:rsid w:val="00AB06E8"/>
    <w:rsid w:val="00AC7562"/>
    <w:rsid w:val="00C14BC0"/>
    <w:rsid w:val="00C26F35"/>
    <w:rsid w:val="00C80B99"/>
    <w:rsid w:val="00CE223B"/>
    <w:rsid w:val="00D009E4"/>
    <w:rsid w:val="00D2770F"/>
    <w:rsid w:val="00DB55A9"/>
    <w:rsid w:val="00DB7342"/>
    <w:rsid w:val="00DE15D3"/>
    <w:rsid w:val="00E16D1B"/>
    <w:rsid w:val="00E57938"/>
    <w:rsid w:val="00E80524"/>
    <w:rsid w:val="00EB024A"/>
    <w:rsid w:val="00EE2B28"/>
    <w:rsid w:val="00F571EB"/>
    <w:rsid w:val="00F73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98"/>
    <w:pPr>
      <w:widowControl w:val="0"/>
      <w:jc w:val="both"/>
    </w:pPr>
  </w:style>
  <w:style w:type="paragraph" w:styleId="1">
    <w:name w:val="heading 1"/>
    <w:basedOn w:val="a"/>
    <w:link w:val="1Char"/>
    <w:uiPriority w:val="9"/>
    <w:qFormat/>
    <w:rsid w:val="00DB55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55A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AB06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5A9"/>
    <w:rPr>
      <w:rFonts w:ascii="宋体" w:eastAsia="宋体" w:hAnsi="宋体" w:cs="宋体"/>
      <w:b/>
      <w:bCs/>
      <w:kern w:val="36"/>
      <w:sz w:val="48"/>
      <w:szCs w:val="48"/>
    </w:rPr>
  </w:style>
  <w:style w:type="character" w:customStyle="1" w:styleId="2Char">
    <w:name w:val="标题 2 Char"/>
    <w:basedOn w:val="a0"/>
    <w:link w:val="2"/>
    <w:uiPriority w:val="9"/>
    <w:rsid w:val="00DB55A9"/>
    <w:rPr>
      <w:rFonts w:ascii="宋体" w:eastAsia="宋体" w:hAnsi="宋体" w:cs="宋体"/>
      <w:b/>
      <w:bCs/>
      <w:kern w:val="0"/>
      <w:sz w:val="36"/>
      <w:szCs w:val="36"/>
    </w:rPr>
  </w:style>
  <w:style w:type="paragraph" w:styleId="a3">
    <w:name w:val="Normal (Web)"/>
    <w:basedOn w:val="a"/>
    <w:uiPriority w:val="99"/>
    <w:unhideWhenUsed/>
    <w:rsid w:val="00DB55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5A9"/>
    <w:rPr>
      <w:b/>
      <w:bCs/>
    </w:rPr>
  </w:style>
  <w:style w:type="paragraph" w:styleId="a5">
    <w:name w:val="header"/>
    <w:basedOn w:val="a"/>
    <w:link w:val="Char"/>
    <w:uiPriority w:val="99"/>
    <w:semiHidden/>
    <w:unhideWhenUsed/>
    <w:rsid w:val="00A3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AEC"/>
    <w:rPr>
      <w:sz w:val="18"/>
      <w:szCs w:val="18"/>
    </w:rPr>
  </w:style>
  <w:style w:type="paragraph" w:styleId="a6">
    <w:name w:val="footer"/>
    <w:basedOn w:val="a"/>
    <w:link w:val="Char0"/>
    <w:uiPriority w:val="99"/>
    <w:semiHidden/>
    <w:unhideWhenUsed/>
    <w:rsid w:val="00A3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AEC"/>
    <w:rPr>
      <w:sz w:val="18"/>
      <w:szCs w:val="18"/>
    </w:rPr>
  </w:style>
  <w:style w:type="paragraph" w:styleId="a7">
    <w:name w:val="Balloon Text"/>
    <w:basedOn w:val="a"/>
    <w:link w:val="Char1"/>
    <w:uiPriority w:val="99"/>
    <w:semiHidden/>
    <w:unhideWhenUsed/>
    <w:rsid w:val="00A37AEC"/>
    <w:rPr>
      <w:sz w:val="18"/>
      <w:szCs w:val="18"/>
    </w:rPr>
  </w:style>
  <w:style w:type="character" w:customStyle="1" w:styleId="Char1">
    <w:name w:val="批注框文本 Char"/>
    <w:basedOn w:val="a0"/>
    <w:link w:val="a7"/>
    <w:uiPriority w:val="99"/>
    <w:semiHidden/>
    <w:rsid w:val="00A37AEC"/>
    <w:rPr>
      <w:sz w:val="18"/>
      <w:szCs w:val="18"/>
    </w:rPr>
  </w:style>
  <w:style w:type="character" w:customStyle="1" w:styleId="3Char">
    <w:name w:val="标题 3 Char"/>
    <w:basedOn w:val="a0"/>
    <w:link w:val="3"/>
    <w:uiPriority w:val="9"/>
    <w:semiHidden/>
    <w:rsid w:val="00AB06E8"/>
    <w:rPr>
      <w:b/>
      <w:bCs/>
      <w:sz w:val="32"/>
      <w:szCs w:val="32"/>
    </w:rPr>
  </w:style>
</w:styles>
</file>

<file path=word/webSettings.xml><?xml version="1.0" encoding="utf-8"?>
<w:webSettings xmlns:r="http://schemas.openxmlformats.org/officeDocument/2006/relationships" xmlns:w="http://schemas.openxmlformats.org/wordprocessingml/2006/main">
  <w:divs>
    <w:div w:id="94327743">
      <w:bodyDiv w:val="1"/>
      <w:marLeft w:val="0"/>
      <w:marRight w:val="0"/>
      <w:marTop w:val="0"/>
      <w:marBottom w:val="0"/>
      <w:divBdr>
        <w:top w:val="none" w:sz="0" w:space="0" w:color="auto"/>
        <w:left w:val="none" w:sz="0" w:space="0" w:color="auto"/>
        <w:bottom w:val="none" w:sz="0" w:space="0" w:color="auto"/>
        <w:right w:val="none" w:sz="0" w:space="0" w:color="auto"/>
      </w:divBdr>
    </w:div>
    <w:div w:id="201065024">
      <w:bodyDiv w:val="1"/>
      <w:marLeft w:val="0"/>
      <w:marRight w:val="0"/>
      <w:marTop w:val="0"/>
      <w:marBottom w:val="0"/>
      <w:divBdr>
        <w:top w:val="none" w:sz="0" w:space="0" w:color="auto"/>
        <w:left w:val="none" w:sz="0" w:space="0" w:color="auto"/>
        <w:bottom w:val="none" w:sz="0" w:space="0" w:color="auto"/>
        <w:right w:val="none" w:sz="0" w:space="0" w:color="auto"/>
      </w:divBdr>
    </w:div>
    <w:div w:id="238100461">
      <w:bodyDiv w:val="1"/>
      <w:marLeft w:val="0"/>
      <w:marRight w:val="0"/>
      <w:marTop w:val="0"/>
      <w:marBottom w:val="0"/>
      <w:divBdr>
        <w:top w:val="none" w:sz="0" w:space="0" w:color="auto"/>
        <w:left w:val="none" w:sz="0" w:space="0" w:color="auto"/>
        <w:bottom w:val="none" w:sz="0" w:space="0" w:color="auto"/>
        <w:right w:val="none" w:sz="0" w:space="0" w:color="auto"/>
      </w:divBdr>
    </w:div>
    <w:div w:id="267273050">
      <w:bodyDiv w:val="1"/>
      <w:marLeft w:val="0"/>
      <w:marRight w:val="0"/>
      <w:marTop w:val="0"/>
      <w:marBottom w:val="0"/>
      <w:divBdr>
        <w:top w:val="none" w:sz="0" w:space="0" w:color="auto"/>
        <w:left w:val="none" w:sz="0" w:space="0" w:color="auto"/>
        <w:bottom w:val="none" w:sz="0" w:space="0" w:color="auto"/>
        <w:right w:val="none" w:sz="0" w:space="0" w:color="auto"/>
      </w:divBdr>
    </w:div>
    <w:div w:id="382602677">
      <w:bodyDiv w:val="1"/>
      <w:marLeft w:val="0"/>
      <w:marRight w:val="0"/>
      <w:marTop w:val="0"/>
      <w:marBottom w:val="0"/>
      <w:divBdr>
        <w:top w:val="none" w:sz="0" w:space="0" w:color="auto"/>
        <w:left w:val="none" w:sz="0" w:space="0" w:color="auto"/>
        <w:bottom w:val="none" w:sz="0" w:space="0" w:color="auto"/>
        <w:right w:val="none" w:sz="0" w:space="0" w:color="auto"/>
      </w:divBdr>
    </w:div>
    <w:div w:id="403452000">
      <w:bodyDiv w:val="1"/>
      <w:marLeft w:val="0"/>
      <w:marRight w:val="0"/>
      <w:marTop w:val="0"/>
      <w:marBottom w:val="0"/>
      <w:divBdr>
        <w:top w:val="none" w:sz="0" w:space="0" w:color="auto"/>
        <w:left w:val="none" w:sz="0" w:space="0" w:color="auto"/>
        <w:bottom w:val="none" w:sz="0" w:space="0" w:color="auto"/>
        <w:right w:val="none" w:sz="0" w:space="0" w:color="auto"/>
      </w:divBdr>
    </w:div>
    <w:div w:id="630333000">
      <w:bodyDiv w:val="1"/>
      <w:marLeft w:val="0"/>
      <w:marRight w:val="0"/>
      <w:marTop w:val="0"/>
      <w:marBottom w:val="0"/>
      <w:divBdr>
        <w:top w:val="none" w:sz="0" w:space="0" w:color="auto"/>
        <w:left w:val="none" w:sz="0" w:space="0" w:color="auto"/>
        <w:bottom w:val="none" w:sz="0" w:space="0" w:color="auto"/>
        <w:right w:val="none" w:sz="0" w:space="0" w:color="auto"/>
      </w:divBdr>
    </w:div>
    <w:div w:id="958535245">
      <w:bodyDiv w:val="1"/>
      <w:marLeft w:val="0"/>
      <w:marRight w:val="0"/>
      <w:marTop w:val="0"/>
      <w:marBottom w:val="0"/>
      <w:divBdr>
        <w:top w:val="none" w:sz="0" w:space="0" w:color="auto"/>
        <w:left w:val="none" w:sz="0" w:space="0" w:color="auto"/>
        <w:bottom w:val="none" w:sz="0" w:space="0" w:color="auto"/>
        <w:right w:val="none" w:sz="0" w:space="0" w:color="auto"/>
      </w:divBdr>
    </w:div>
    <w:div w:id="980961543">
      <w:bodyDiv w:val="1"/>
      <w:marLeft w:val="0"/>
      <w:marRight w:val="0"/>
      <w:marTop w:val="0"/>
      <w:marBottom w:val="0"/>
      <w:divBdr>
        <w:top w:val="none" w:sz="0" w:space="0" w:color="auto"/>
        <w:left w:val="none" w:sz="0" w:space="0" w:color="auto"/>
        <w:bottom w:val="none" w:sz="0" w:space="0" w:color="auto"/>
        <w:right w:val="none" w:sz="0" w:space="0" w:color="auto"/>
      </w:divBdr>
    </w:div>
    <w:div w:id="1121798081">
      <w:bodyDiv w:val="1"/>
      <w:marLeft w:val="0"/>
      <w:marRight w:val="0"/>
      <w:marTop w:val="0"/>
      <w:marBottom w:val="0"/>
      <w:divBdr>
        <w:top w:val="none" w:sz="0" w:space="0" w:color="auto"/>
        <w:left w:val="none" w:sz="0" w:space="0" w:color="auto"/>
        <w:bottom w:val="none" w:sz="0" w:space="0" w:color="auto"/>
        <w:right w:val="none" w:sz="0" w:space="0" w:color="auto"/>
      </w:divBdr>
    </w:div>
    <w:div w:id="1183058059">
      <w:bodyDiv w:val="1"/>
      <w:marLeft w:val="0"/>
      <w:marRight w:val="0"/>
      <w:marTop w:val="0"/>
      <w:marBottom w:val="0"/>
      <w:divBdr>
        <w:top w:val="none" w:sz="0" w:space="0" w:color="auto"/>
        <w:left w:val="none" w:sz="0" w:space="0" w:color="auto"/>
        <w:bottom w:val="none" w:sz="0" w:space="0" w:color="auto"/>
        <w:right w:val="none" w:sz="0" w:space="0" w:color="auto"/>
      </w:divBdr>
    </w:div>
    <w:div w:id="1361542599">
      <w:bodyDiv w:val="1"/>
      <w:marLeft w:val="0"/>
      <w:marRight w:val="0"/>
      <w:marTop w:val="0"/>
      <w:marBottom w:val="0"/>
      <w:divBdr>
        <w:top w:val="none" w:sz="0" w:space="0" w:color="auto"/>
        <w:left w:val="none" w:sz="0" w:space="0" w:color="auto"/>
        <w:bottom w:val="none" w:sz="0" w:space="0" w:color="auto"/>
        <w:right w:val="none" w:sz="0" w:space="0" w:color="auto"/>
      </w:divBdr>
    </w:div>
    <w:div w:id="1427926111">
      <w:bodyDiv w:val="1"/>
      <w:marLeft w:val="0"/>
      <w:marRight w:val="0"/>
      <w:marTop w:val="0"/>
      <w:marBottom w:val="0"/>
      <w:divBdr>
        <w:top w:val="none" w:sz="0" w:space="0" w:color="auto"/>
        <w:left w:val="none" w:sz="0" w:space="0" w:color="auto"/>
        <w:bottom w:val="none" w:sz="0" w:space="0" w:color="auto"/>
        <w:right w:val="none" w:sz="0" w:space="0" w:color="auto"/>
      </w:divBdr>
    </w:div>
    <w:div w:id="1428505399">
      <w:bodyDiv w:val="1"/>
      <w:marLeft w:val="0"/>
      <w:marRight w:val="0"/>
      <w:marTop w:val="0"/>
      <w:marBottom w:val="0"/>
      <w:divBdr>
        <w:top w:val="none" w:sz="0" w:space="0" w:color="auto"/>
        <w:left w:val="none" w:sz="0" w:space="0" w:color="auto"/>
        <w:bottom w:val="none" w:sz="0" w:space="0" w:color="auto"/>
        <w:right w:val="none" w:sz="0" w:space="0" w:color="auto"/>
      </w:divBdr>
    </w:div>
    <w:div w:id="1435439310">
      <w:bodyDiv w:val="1"/>
      <w:marLeft w:val="0"/>
      <w:marRight w:val="0"/>
      <w:marTop w:val="0"/>
      <w:marBottom w:val="0"/>
      <w:divBdr>
        <w:top w:val="none" w:sz="0" w:space="0" w:color="auto"/>
        <w:left w:val="none" w:sz="0" w:space="0" w:color="auto"/>
        <w:bottom w:val="none" w:sz="0" w:space="0" w:color="auto"/>
        <w:right w:val="none" w:sz="0" w:space="0" w:color="auto"/>
      </w:divBdr>
    </w:div>
    <w:div w:id="1649044084">
      <w:bodyDiv w:val="1"/>
      <w:marLeft w:val="0"/>
      <w:marRight w:val="0"/>
      <w:marTop w:val="0"/>
      <w:marBottom w:val="0"/>
      <w:divBdr>
        <w:top w:val="none" w:sz="0" w:space="0" w:color="auto"/>
        <w:left w:val="none" w:sz="0" w:space="0" w:color="auto"/>
        <w:bottom w:val="none" w:sz="0" w:space="0" w:color="auto"/>
        <w:right w:val="none" w:sz="0" w:space="0" w:color="auto"/>
      </w:divBdr>
    </w:div>
    <w:div w:id="1678993570">
      <w:bodyDiv w:val="1"/>
      <w:marLeft w:val="0"/>
      <w:marRight w:val="0"/>
      <w:marTop w:val="0"/>
      <w:marBottom w:val="0"/>
      <w:divBdr>
        <w:top w:val="none" w:sz="0" w:space="0" w:color="auto"/>
        <w:left w:val="none" w:sz="0" w:space="0" w:color="auto"/>
        <w:bottom w:val="none" w:sz="0" w:space="0" w:color="auto"/>
        <w:right w:val="none" w:sz="0" w:space="0" w:color="auto"/>
      </w:divBdr>
    </w:div>
    <w:div w:id="1686512723">
      <w:bodyDiv w:val="1"/>
      <w:marLeft w:val="0"/>
      <w:marRight w:val="0"/>
      <w:marTop w:val="0"/>
      <w:marBottom w:val="0"/>
      <w:divBdr>
        <w:top w:val="none" w:sz="0" w:space="0" w:color="auto"/>
        <w:left w:val="none" w:sz="0" w:space="0" w:color="auto"/>
        <w:bottom w:val="none" w:sz="0" w:space="0" w:color="auto"/>
        <w:right w:val="none" w:sz="0" w:space="0" w:color="auto"/>
      </w:divBdr>
    </w:div>
    <w:div w:id="1782533311">
      <w:bodyDiv w:val="1"/>
      <w:marLeft w:val="0"/>
      <w:marRight w:val="0"/>
      <w:marTop w:val="0"/>
      <w:marBottom w:val="0"/>
      <w:divBdr>
        <w:top w:val="none" w:sz="0" w:space="0" w:color="auto"/>
        <w:left w:val="none" w:sz="0" w:space="0" w:color="auto"/>
        <w:bottom w:val="none" w:sz="0" w:space="0" w:color="auto"/>
        <w:right w:val="none" w:sz="0" w:space="0" w:color="auto"/>
      </w:divBdr>
    </w:div>
    <w:div w:id="1858732077">
      <w:bodyDiv w:val="1"/>
      <w:marLeft w:val="0"/>
      <w:marRight w:val="0"/>
      <w:marTop w:val="0"/>
      <w:marBottom w:val="0"/>
      <w:divBdr>
        <w:top w:val="none" w:sz="0" w:space="0" w:color="auto"/>
        <w:left w:val="none" w:sz="0" w:space="0" w:color="auto"/>
        <w:bottom w:val="none" w:sz="0" w:space="0" w:color="auto"/>
        <w:right w:val="none" w:sz="0" w:space="0" w:color="auto"/>
      </w:divBdr>
    </w:div>
    <w:div w:id="1887177850">
      <w:bodyDiv w:val="1"/>
      <w:marLeft w:val="0"/>
      <w:marRight w:val="0"/>
      <w:marTop w:val="0"/>
      <w:marBottom w:val="0"/>
      <w:divBdr>
        <w:top w:val="none" w:sz="0" w:space="0" w:color="auto"/>
        <w:left w:val="none" w:sz="0" w:space="0" w:color="auto"/>
        <w:bottom w:val="none" w:sz="0" w:space="0" w:color="auto"/>
        <w:right w:val="none" w:sz="0" w:space="0" w:color="auto"/>
      </w:divBdr>
    </w:div>
    <w:div w:id="1901213327">
      <w:bodyDiv w:val="1"/>
      <w:marLeft w:val="0"/>
      <w:marRight w:val="0"/>
      <w:marTop w:val="0"/>
      <w:marBottom w:val="0"/>
      <w:divBdr>
        <w:top w:val="none" w:sz="0" w:space="0" w:color="auto"/>
        <w:left w:val="none" w:sz="0" w:space="0" w:color="auto"/>
        <w:bottom w:val="none" w:sz="0" w:space="0" w:color="auto"/>
        <w:right w:val="none" w:sz="0" w:space="0" w:color="auto"/>
      </w:divBdr>
    </w:div>
    <w:div w:id="1975257321">
      <w:bodyDiv w:val="1"/>
      <w:marLeft w:val="0"/>
      <w:marRight w:val="0"/>
      <w:marTop w:val="0"/>
      <w:marBottom w:val="0"/>
      <w:divBdr>
        <w:top w:val="none" w:sz="0" w:space="0" w:color="auto"/>
        <w:left w:val="none" w:sz="0" w:space="0" w:color="auto"/>
        <w:bottom w:val="none" w:sz="0" w:space="0" w:color="auto"/>
        <w:right w:val="none" w:sz="0" w:space="0" w:color="auto"/>
      </w:divBdr>
    </w:div>
    <w:div w:id="19931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2020-05-25T01:14:00Z</dcterms:created>
  <dcterms:modified xsi:type="dcterms:W3CDTF">2020-05-25T08:52:00Z</dcterms:modified>
</cp:coreProperties>
</file>