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000000"/>
          <w:spacing w:val="0"/>
          <w:sz w:val="28"/>
          <w:szCs w:val="28"/>
          <w:shd w:val="clear" w:fill="FFFFFF"/>
        </w:rPr>
      </w:pPr>
      <w:bookmarkStart w:id="0" w:name="_GoBack"/>
      <w:r>
        <w:rPr>
          <w:rFonts w:hint="eastAsia" w:ascii="宋体" w:hAnsi="宋体" w:eastAsia="宋体" w:cs="宋体"/>
          <w:i w:val="0"/>
          <w:caps w:val="0"/>
          <w:color w:val="000000"/>
          <w:spacing w:val="0"/>
          <w:sz w:val="28"/>
          <w:szCs w:val="28"/>
          <w:shd w:val="clear" w:fill="FFFFFF"/>
        </w:rPr>
        <w:t>AUTO5-1手持式五组分汽车尾气分析仪</w:t>
      </w:r>
    </w:p>
    <w:bookmarkEnd w:id="0"/>
    <w:p>
      <w:pPr>
        <w:rPr>
          <w:rFonts w:ascii="微软雅黑" w:hAnsi="微软雅黑" w:eastAsia="微软雅黑" w:cs="微软雅黑"/>
          <w:i w:val="0"/>
          <w:caps w:val="0"/>
          <w:color w:val="000000"/>
          <w:spacing w:val="0"/>
          <w:sz w:val="16"/>
          <w:szCs w:val="16"/>
          <w:shd w:val="clear" w:fill="FFFFFF"/>
        </w:rPr>
      </w:pPr>
    </w:p>
    <w:p>
      <w:pPr>
        <w:pStyle w:val="4"/>
        <w:keepNext w:val="0"/>
        <w:keepLines w:val="0"/>
        <w:widowControl/>
        <w:suppressLineNumbers w:val="0"/>
        <w:shd w:val="clear" w:fill="FFFFFF"/>
        <w:ind w:left="0" w:firstLine="0"/>
        <w:jc w:val="center"/>
        <w:rPr>
          <w:rFonts w:ascii="Arial" w:hAnsi="Arial" w:cs="Arial"/>
          <w:i w:val="0"/>
          <w:caps w:val="0"/>
          <w:color w:val="666666"/>
          <w:spacing w:val="0"/>
          <w:sz w:val="14"/>
          <w:szCs w:val="14"/>
        </w:rPr>
      </w:pPr>
      <w:r>
        <w:rPr>
          <w:rFonts w:hint="default" w:ascii="Arial" w:hAnsi="Arial" w:cs="Arial"/>
          <w:i w:val="0"/>
          <w:caps w:val="0"/>
          <w:color w:val="666666"/>
          <w:spacing w:val="0"/>
          <w:sz w:val="14"/>
          <w:szCs w:val="14"/>
          <w:shd w:val="clear" w:fill="FFFFFF"/>
        </w:rPr>
        <w:drawing>
          <wp:inline distT="0" distB="0" distL="114300" distR="114300">
            <wp:extent cx="2619375" cy="2536190"/>
            <wp:effectExtent l="0" t="0" r="190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619375" cy="253619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264" w:lineRule="atLeast"/>
        <w:ind w:left="0" w:right="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666666"/>
          <w:spacing w:val="0"/>
          <w:sz w:val="21"/>
          <w:szCs w:val="21"/>
          <w:shd w:val="clear" w:fill="FFFFFF"/>
        </w:rPr>
        <w:t> </w:t>
      </w:r>
      <w:r>
        <w:rPr>
          <w:rFonts w:hint="eastAsia" w:asciiTheme="majorEastAsia" w:hAnsiTheme="majorEastAsia" w:eastAsiaTheme="majorEastAsia" w:cstheme="majorEastAsia"/>
          <w:caps w:val="0"/>
          <w:color w:val="666666"/>
          <w:spacing w:val="0"/>
          <w:sz w:val="21"/>
          <w:szCs w:val="21"/>
          <w:u w:val="none"/>
        </w:rPr>
        <w:t>AUT05-1汽车尾气分析仪</w:t>
      </w:r>
      <w:r>
        <w:rPr>
          <w:rFonts w:hint="eastAsia" w:asciiTheme="majorEastAsia" w:hAnsiTheme="majorEastAsia" w:eastAsiaTheme="majorEastAsia" w:cstheme="majorEastAsia"/>
          <w:caps w:val="0"/>
          <w:color w:val="120F13"/>
          <w:spacing w:val="0"/>
          <w:kern w:val="0"/>
          <w:sz w:val="21"/>
          <w:szCs w:val="21"/>
          <w:u w:val="none"/>
          <w:lang w:val="en-US" w:eastAsia="zh-CN" w:bidi="ar"/>
        </w:rPr>
        <w:t> 推出的内置电池驱动的手持式汽车尾气监测仪，为与汽车尾气监测有关的各领域工作的人员提供了简便和低成本的检测手段。</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低功耗红外传感器</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内置充电电池可供连续工作6小时</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反应时间小于12秒</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可存储250组测试结果</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带背光的显示屏可同时显示所有参数</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钳夹式探头可固定在排气管上, 便于行驶中的工况排放检测</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耐用的过滤器</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红外遥控打印方式</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220v交流充电器和12v车载充电器</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体积 220 x 55 x 120mm, 重量1kg</w:t>
      </w:r>
      <w:r>
        <w:rPr>
          <w:rFonts w:hint="eastAsia" w:asciiTheme="majorEastAsia" w:hAnsiTheme="majorEastAsia" w:eastAsiaTheme="majorEastAsia" w:cstheme="majorEastAsia"/>
          <w:caps w:val="0"/>
          <w:color w:val="120F13"/>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 </w:t>
      </w:r>
      <w:r>
        <w:rPr>
          <w:rFonts w:hint="eastAsia" w:asciiTheme="majorEastAsia" w:hAnsiTheme="majorEastAsia" w:eastAsiaTheme="majorEastAsia" w:cstheme="majorEastAsia"/>
          <w:caps w:val="0"/>
          <w:color w:val="666666"/>
          <w:spacing w:val="0"/>
          <w:kern w:val="0"/>
          <w:sz w:val="21"/>
          <w:szCs w:val="21"/>
          <w:u w:val="none"/>
          <w:lang w:val="en-US" w:eastAsia="zh-CN" w:bidi="ar"/>
        </w:rPr>
        <w:br w:type="textWrapping"/>
      </w:r>
      <w:r>
        <w:rPr>
          <w:rFonts w:hint="eastAsia" w:asciiTheme="majorEastAsia" w:hAnsiTheme="majorEastAsia" w:eastAsiaTheme="majorEastAsia" w:cstheme="majorEastAsia"/>
          <w:caps w:val="0"/>
          <w:color w:val="120F13"/>
          <w:spacing w:val="0"/>
          <w:kern w:val="0"/>
          <w:sz w:val="21"/>
          <w:szCs w:val="21"/>
          <w:u w:val="none"/>
          <w:lang w:val="en-US" w:eastAsia="zh-CN" w:bidi="ar"/>
        </w:rPr>
        <w:t>技术性能</w:t>
      </w:r>
    </w:p>
    <w:tbl>
      <w:tblPr>
        <w:tblStyle w:val="5"/>
        <w:tblW w:w="0" w:type="auto"/>
        <w:tblCellSpacing w:w="7" w:type="dxa"/>
        <w:tblInd w:w="0" w:type="dxa"/>
        <w:shd w:val="clear" w:color="auto" w:fill="FFCC00"/>
        <w:tblLayout w:type="autofit"/>
        <w:tblCellMar>
          <w:top w:w="30" w:type="dxa"/>
          <w:left w:w="30" w:type="dxa"/>
          <w:bottom w:w="30" w:type="dxa"/>
          <w:right w:w="30" w:type="dxa"/>
        </w:tblCellMar>
      </w:tblPr>
      <w:tblGrid>
        <w:gridCol w:w="1369"/>
        <w:gridCol w:w="3214"/>
        <w:gridCol w:w="940"/>
        <w:gridCol w:w="2969"/>
      </w:tblGrid>
      <w:tr>
        <w:tblPrEx>
          <w:shd w:val="clear" w:color="auto" w:fill="FFCC00"/>
          <w:tblCellMar>
            <w:top w:w="30" w:type="dxa"/>
            <w:left w:w="30" w:type="dxa"/>
            <w:bottom w:w="30" w:type="dxa"/>
            <w:right w:w="30" w:type="dxa"/>
          </w:tblCellMar>
        </w:tblPrEx>
        <w:trPr>
          <w:tblCellSpacing w:w="7" w:type="dxa"/>
        </w:trPr>
        <w:tc>
          <w:tcPr>
            <w:tcW w:w="0" w:type="auto"/>
            <w:shd w:val="clear" w:color="auto" w:fill="FFFFFF"/>
            <w:vAlign w:val="center"/>
          </w:tcPr>
          <w:p>
            <w:pPr>
              <w:pStyle w:val="4"/>
              <w:keepNext w:val="0"/>
              <w:keepLines w:val="0"/>
              <w:widowControl/>
              <w:suppressLineNumbers w:val="0"/>
              <w:spacing w:line="264" w:lineRule="atLeast"/>
              <w:ind w:left="182" w:hanging="182"/>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测量</w:t>
            </w:r>
          </w:p>
        </w:tc>
        <w:tc>
          <w:tcPr>
            <w:tcW w:w="1900" w:type="pct"/>
            <w:tcBorders>
              <w:top w:val="single" w:color="C0C0C0" w:sz="8" w:space="0"/>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范围</w:t>
            </w:r>
          </w:p>
        </w:tc>
        <w:tc>
          <w:tcPr>
            <w:tcW w:w="550" w:type="pct"/>
            <w:tcBorders>
              <w:top w:val="single" w:color="C0C0C0" w:sz="8" w:space="0"/>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分辨率</w:t>
            </w:r>
          </w:p>
        </w:tc>
        <w:tc>
          <w:tcPr>
            <w:tcW w:w="1750" w:type="pct"/>
            <w:tcBorders>
              <w:top w:val="single" w:color="C0C0C0" w:sz="8" w:space="0"/>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精度</w:t>
            </w:r>
          </w:p>
        </w:tc>
      </w:tr>
      <w:tr>
        <w:tblPrEx>
          <w:shd w:val="clear" w:color="auto" w:fill="FFCC00"/>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CO</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5% , 过量程20%</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0.01%</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读数的</w:t>
            </w:r>
            <w:r>
              <w:rPr>
                <w:rFonts w:hint="eastAsia" w:asciiTheme="majorEastAsia" w:hAnsiTheme="majorEastAsia" w:eastAsiaTheme="majorEastAsia" w:cstheme="majorEastAsia"/>
                <w:color w:val="120F13"/>
                <w:kern w:val="0"/>
                <w:sz w:val="21"/>
                <w:szCs w:val="21"/>
                <w:u w:val="single"/>
                <w:lang w:val="en-US" w:eastAsia="zh-CN" w:bidi="ar"/>
              </w:rPr>
              <w:t>+</w:t>
            </w:r>
            <w:r>
              <w:rPr>
                <w:rFonts w:hint="eastAsia" w:asciiTheme="majorEastAsia" w:hAnsiTheme="majorEastAsia" w:eastAsiaTheme="majorEastAsia" w:cstheme="majorEastAsia"/>
                <w:color w:val="120F13"/>
                <w:kern w:val="0"/>
                <w:sz w:val="21"/>
                <w:szCs w:val="21"/>
                <w:u w:val="none"/>
                <w:lang w:val="en-US" w:eastAsia="zh-CN" w:bidi="ar"/>
              </w:rPr>
              <w:t>5%,</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HC</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0 ～ 2,000ppm, 过量程10,000ppm</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1ppm</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读数的</w:t>
            </w:r>
            <w:r>
              <w:rPr>
                <w:rFonts w:hint="eastAsia" w:asciiTheme="majorEastAsia" w:hAnsiTheme="majorEastAsia" w:eastAsiaTheme="majorEastAsia" w:cstheme="majorEastAsia"/>
                <w:color w:val="120F13"/>
                <w:sz w:val="21"/>
                <w:szCs w:val="21"/>
                <w:u w:val="single"/>
              </w:rPr>
              <w:t>+</w:t>
            </w:r>
            <w:r>
              <w:rPr>
                <w:rFonts w:hint="eastAsia" w:asciiTheme="majorEastAsia" w:hAnsiTheme="majorEastAsia" w:eastAsiaTheme="majorEastAsia" w:cstheme="majorEastAsia"/>
                <w:color w:val="120F13"/>
                <w:sz w:val="21"/>
                <w:szCs w:val="21"/>
                <w:u w:val="none"/>
              </w:rPr>
              <w:t>5%,</w:t>
            </w:r>
          </w:p>
        </w:tc>
      </w:tr>
      <w:tr>
        <w:tblPrEx>
          <w:shd w:val="clear" w:color="auto" w:fill="FFCC00"/>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O2</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 ～ 21%, 过量程0 ～25%</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64" w:lineRule="atLeast"/>
              <w:ind w:left="0" w:right="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0.01%</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读数的</w:t>
            </w:r>
            <w:r>
              <w:rPr>
                <w:rFonts w:hint="eastAsia" w:asciiTheme="majorEastAsia" w:hAnsiTheme="majorEastAsia" w:eastAsiaTheme="majorEastAsia" w:cstheme="majorEastAsia"/>
                <w:color w:val="120F13"/>
                <w:kern w:val="0"/>
                <w:sz w:val="21"/>
                <w:szCs w:val="21"/>
                <w:u w:val="single"/>
                <w:lang w:val="en-US" w:eastAsia="zh-CN" w:bidi="ar"/>
              </w:rPr>
              <w:t>+</w:t>
            </w:r>
            <w:r>
              <w:rPr>
                <w:rFonts w:hint="eastAsia" w:asciiTheme="majorEastAsia" w:hAnsiTheme="majorEastAsia" w:eastAsiaTheme="majorEastAsia" w:cstheme="majorEastAsia"/>
                <w:color w:val="120F13"/>
                <w:kern w:val="0"/>
                <w:sz w:val="21"/>
                <w:szCs w:val="21"/>
                <w:u w:val="none"/>
                <w:lang w:val="en-US" w:eastAsia="zh-CN" w:bidi="ar"/>
              </w:rPr>
              <w:t>5%,</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NO</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 ～ 5,000ppm</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1ppm</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读数的</w:t>
            </w:r>
            <w:r>
              <w:rPr>
                <w:rFonts w:hint="eastAsia" w:asciiTheme="majorEastAsia" w:hAnsiTheme="majorEastAsia" w:eastAsiaTheme="majorEastAsia" w:cstheme="majorEastAsia"/>
                <w:color w:val="120F13"/>
                <w:sz w:val="21"/>
                <w:szCs w:val="21"/>
                <w:u w:val="single"/>
              </w:rPr>
              <w:t>+</w:t>
            </w:r>
            <w:r>
              <w:rPr>
                <w:rFonts w:hint="eastAsia" w:asciiTheme="majorEastAsia" w:hAnsiTheme="majorEastAsia" w:eastAsiaTheme="majorEastAsia" w:cstheme="majorEastAsia"/>
                <w:color w:val="120F13"/>
                <w:sz w:val="21"/>
                <w:szCs w:val="21"/>
                <w:u w:val="none"/>
              </w:rPr>
              <w:t>5%</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CO2</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 ～16%,过量程0 ～20%</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0.01%</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读数的</w:t>
            </w:r>
            <w:r>
              <w:rPr>
                <w:rFonts w:hint="eastAsia" w:asciiTheme="majorEastAsia" w:hAnsiTheme="majorEastAsia" w:eastAsiaTheme="majorEastAsia" w:cstheme="majorEastAsia"/>
                <w:color w:val="120F13"/>
                <w:sz w:val="21"/>
                <w:szCs w:val="21"/>
                <w:u w:val="single"/>
              </w:rPr>
              <w:t>+</w:t>
            </w:r>
            <w:r>
              <w:rPr>
                <w:rFonts w:hint="eastAsia" w:asciiTheme="majorEastAsia" w:hAnsiTheme="majorEastAsia" w:eastAsiaTheme="majorEastAsia" w:cstheme="majorEastAsia"/>
                <w:color w:val="120F13"/>
                <w:sz w:val="21"/>
                <w:szCs w:val="21"/>
                <w:u w:val="none"/>
              </w:rPr>
              <w:t>5%,</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机油温度</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0 ～150℃</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1.0℃</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single"/>
                <w:lang w:val="en-US" w:eastAsia="zh-CN" w:bidi="ar"/>
              </w:rPr>
              <w:t>+</w:t>
            </w:r>
            <w:r>
              <w:rPr>
                <w:rFonts w:hint="eastAsia" w:asciiTheme="majorEastAsia" w:hAnsiTheme="majorEastAsia" w:eastAsiaTheme="majorEastAsia" w:cstheme="majorEastAsia"/>
                <w:color w:val="120F13"/>
                <w:kern w:val="0"/>
                <w:sz w:val="21"/>
                <w:szCs w:val="21"/>
                <w:u w:val="none"/>
                <w:lang w:val="en-US" w:eastAsia="zh-CN" w:bidi="ar"/>
              </w:rPr>
              <w:t>2℃</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发动机转速</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200 ～ 4,000rpm</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1rpm</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50rpm</w:t>
            </w:r>
          </w:p>
        </w:tc>
      </w:tr>
      <w:tr>
        <w:tblPrEx>
          <w:shd w:val="clear" w:color="auto" w:fill="FFCC00"/>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计算</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LAMBDA 空/燃 … …等多种参数</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打印</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666666"/>
                <w:kern w:val="0"/>
                <w:sz w:val="21"/>
                <w:szCs w:val="21"/>
                <w:u w:val="none"/>
                <w:lang w:val="en-US" w:eastAsia="zh-CN" w:bidi="ar"/>
              </w:rPr>
              <w:fldChar w:fldCharType="begin"/>
            </w:r>
            <w:r>
              <w:rPr>
                <w:rFonts w:hint="eastAsia" w:asciiTheme="majorEastAsia" w:hAnsiTheme="majorEastAsia" w:eastAsiaTheme="majorEastAsia" w:cstheme="majorEastAsia"/>
                <w:color w:val="666666"/>
                <w:kern w:val="0"/>
                <w:sz w:val="21"/>
                <w:szCs w:val="21"/>
                <w:u w:val="none"/>
                <w:lang w:val="en-US" w:eastAsia="zh-CN" w:bidi="ar"/>
              </w:rPr>
              <w:instrText xml:space="preserve"> HYPERLINK "http://www.qdloobo.cn/product.asp?id=1919" </w:instrText>
            </w:r>
            <w:r>
              <w:rPr>
                <w:rFonts w:hint="eastAsia" w:asciiTheme="majorEastAsia" w:hAnsiTheme="majorEastAsia" w:eastAsiaTheme="majorEastAsia" w:cstheme="majorEastAsia"/>
                <w:color w:val="666666"/>
                <w:kern w:val="0"/>
                <w:sz w:val="21"/>
                <w:szCs w:val="21"/>
                <w:u w:val="none"/>
                <w:lang w:val="en-US" w:eastAsia="zh-CN" w:bidi="ar"/>
              </w:rPr>
              <w:fldChar w:fldCharType="separate"/>
            </w:r>
            <w:r>
              <w:rPr>
                <w:rStyle w:val="8"/>
                <w:rFonts w:hint="eastAsia" w:asciiTheme="majorEastAsia" w:hAnsiTheme="majorEastAsia" w:eastAsiaTheme="majorEastAsia" w:cstheme="majorEastAsia"/>
                <w:color w:val="666666"/>
                <w:sz w:val="21"/>
                <w:szCs w:val="21"/>
                <w:u w:val="none"/>
              </w:rPr>
              <w:t>KMIRP红外遥控打印机</w:t>
            </w:r>
            <w:r>
              <w:rPr>
                <w:rFonts w:hint="eastAsia" w:asciiTheme="majorEastAsia" w:hAnsiTheme="majorEastAsia" w:eastAsiaTheme="majorEastAsia" w:cstheme="majorEastAsia"/>
                <w:color w:val="666666"/>
                <w:kern w:val="0"/>
                <w:sz w:val="21"/>
                <w:szCs w:val="21"/>
                <w:u w:val="none"/>
                <w:lang w:val="en-US" w:eastAsia="zh-CN" w:bidi="ar"/>
              </w:rPr>
              <w:fldChar w:fldCharType="end"/>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r>
      <w:tr>
        <w:tblPrEx>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spacing w:line="264" w:lineRule="atLeast"/>
              <w:ind w:left="160" w:firstLine="18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120F13"/>
                <w:sz w:val="21"/>
                <w:szCs w:val="21"/>
                <w:u w:val="none"/>
              </w:rPr>
              <w:t>通讯</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RS232</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r>
      <w:tr>
        <w:tblPrEx>
          <w:shd w:val="clear" w:color="auto" w:fill="FFCC00"/>
          <w:tblCellMar>
            <w:top w:w="30" w:type="dxa"/>
            <w:left w:w="30" w:type="dxa"/>
            <w:bottom w:w="30" w:type="dxa"/>
            <w:right w:w="30" w:type="dxa"/>
          </w:tblCellMar>
        </w:tblPrEx>
        <w:trPr>
          <w:tblCellSpacing w:w="7" w:type="dxa"/>
        </w:trPr>
        <w:tc>
          <w:tcPr>
            <w:tcW w:w="800" w:type="pct"/>
            <w:tcBorders>
              <w:top w:val="nil"/>
              <w:left w:val="single" w:color="C0C0C0" w:sz="8" w:space="0"/>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分析软件</w:t>
            </w:r>
          </w:p>
        </w:tc>
        <w:tc>
          <w:tcPr>
            <w:tcW w:w="190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PC 图形分析</w:t>
            </w:r>
          </w:p>
        </w:tc>
        <w:tc>
          <w:tcPr>
            <w:tcW w:w="5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c>
          <w:tcPr>
            <w:tcW w:w="1750" w:type="pct"/>
            <w:tcBorders>
              <w:top w:val="nil"/>
              <w:left w:val="nil"/>
              <w:bottom w:val="single" w:color="C0C0C0" w:sz="8" w:space="0"/>
              <w:right w:val="single" w:color="C0C0C0" w:sz="8" w:space="0"/>
            </w:tcBorders>
            <w:shd w:val="clear" w:color="auto" w:fill="FFFFFF"/>
            <w:tcMar>
              <w:top w:w="0" w:type="dxa"/>
              <w:left w:w="108" w:type="dxa"/>
              <w:bottom w:w="0" w:type="dxa"/>
              <w:right w:w="108" w:type="dxa"/>
            </w:tcMar>
            <w:vAlign w:val="center"/>
          </w:tcPr>
          <w:p>
            <w:pPr>
              <w:keepNext w:val="0"/>
              <w:keepLines w:val="0"/>
              <w:widowControl/>
              <w:suppressLineNumbers w:val="0"/>
              <w:spacing w:line="264" w:lineRule="atLeast"/>
              <w:jc w:val="left"/>
              <w:rPr>
                <w:rFonts w:hint="eastAsia" w:asciiTheme="majorEastAsia" w:hAnsiTheme="majorEastAsia" w:eastAsiaTheme="majorEastAsia" w:cstheme="majorEastAsia"/>
                <w:color w:val="666666"/>
                <w:sz w:val="21"/>
                <w:szCs w:val="21"/>
                <w:u w:val="none"/>
              </w:rPr>
            </w:pPr>
            <w:r>
              <w:rPr>
                <w:rFonts w:hint="eastAsia" w:asciiTheme="majorEastAsia" w:hAnsiTheme="majorEastAsia" w:eastAsiaTheme="majorEastAsia" w:cstheme="majorEastAsia"/>
                <w:color w:val="120F13"/>
                <w:kern w:val="0"/>
                <w:sz w:val="21"/>
                <w:szCs w:val="21"/>
                <w:u w:val="none"/>
                <w:lang w:val="en-US" w:eastAsia="zh-CN" w:bidi="ar"/>
              </w:rPr>
              <w:t> </w:t>
            </w:r>
          </w:p>
        </w:tc>
      </w:tr>
    </w:tbl>
    <w:p>
      <w:pPr>
        <w:pStyle w:val="4"/>
        <w:keepNext w:val="0"/>
        <w:keepLines w:val="0"/>
        <w:widowControl/>
        <w:suppressLineNumbers w:val="0"/>
        <w:spacing w:line="264" w:lineRule="atLeast"/>
        <w:ind w:left="0" w:firstLine="42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aps w:val="0"/>
          <w:color w:val="666666"/>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主要应用</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环境监测部门的路检和抽检</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由于现有仪器体积大、重量沉、需要外接交流电源, 很难做到路上抽查检测，只能设立固定检测点，缺乏随机和即时性。由于KANE仪器的特点，检测人员可以随车在任何地方对路上行驶车辆进行抽检，不受天气等客观条件的影响。检测人员的劳动强度也可获得改善。</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 </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尾气净化装置的快速检验</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尾气净化装置的检测须在工况状态下进行，但现在的工况测试需要进行台架试验，试验设备价格少则五、六十万，多则几百、上千万，做一次尾气净化装置的检测花费也很大。很多生产、研究单位没有能力经常性对产品进行测试。</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由于KANE 手持式仪器的轻便特点，可用于汽车实际道路行驶状况的检测，简单方便地反映出汽车在不同负荷、不同道路中的尾气基本排放情况。而花费只是几万元仪器的一次性投资。</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 </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有关汽车尾气的研究工作</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利用AUTO便于随车测试的特点，研究人员可以方便地获得汽车在城市不同交通状况下的尾气排放的基本数据，为政府决策机关提供参考信息，利于城市道路规划、交通管理等政府决策。</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 </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汽车修理厂</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KANE仪器的操作非常简单，维修工只需要几小时的培训就可掌握。KANE齐全的功能不仅可以用于尾气检测也可用于汽车燃烧系统故障的检查，为尾气调整提供快速、可靠的参考。</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 </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对其他现场仪器的参考校准</w:t>
      </w:r>
      <w:r>
        <w:rPr>
          <w:rFonts w:hint="eastAsia" w:asciiTheme="majorEastAsia" w:hAnsiTheme="majorEastAsia" w:eastAsiaTheme="majorEastAsia" w:cstheme="majorEastAsia"/>
          <w:caps w:val="0"/>
          <w:color w:val="120F13"/>
          <w:spacing w:val="0"/>
          <w:sz w:val="21"/>
          <w:szCs w:val="21"/>
          <w:u w:val="none"/>
        </w:rPr>
        <w:br w:type="textWrapping"/>
      </w:r>
      <w:r>
        <w:rPr>
          <w:rFonts w:hint="eastAsia" w:asciiTheme="majorEastAsia" w:hAnsiTheme="majorEastAsia" w:eastAsiaTheme="majorEastAsia" w:cstheme="majorEastAsia"/>
          <w:caps w:val="0"/>
          <w:color w:val="120F13"/>
          <w:spacing w:val="0"/>
          <w:sz w:val="21"/>
          <w:szCs w:val="21"/>
          <w:u w:val="none"/>
        </w:rPr>
        <w:t>由于KANE仪器的轻便特点，管理人员可以随身携带刚在实验室内标定好的仪器对一些如年检厂、修理厂、尾气治理厂等单位进行在用仪器运行状况的检查。</w:t>
      </w:r>
    </w:p>
    <w:p>
      <w:pPr>
        <w:pStyle w:val="4"/>
        <w:keepNext w:val="0"/>
        <w:keepLines w:val="0"/>
        <w:widowControl/>
        <w:suppressLineNumbers w:val="0"/>
        <w:shd w:val="clear" w:fill="FFFFFF"/>
        <w:ind w:left="0" w:firstLine="0"/>
        <w:rPr>
          <w:rFonts w:hint="eastAsia" w:asciiTheme="majorEastAsia" w:hAnsiTheme="majorEastAsia" w:eastAsiaTheme="majorEastAsia" w:cstheme="majorEastAsia"/>
          <w:i w:val="0"/>
          <w:caps w:val="0"/>
          <w:color w:val="666666"/>
          <w:spacing w:val="0"/>
          <w:sz w:val="21"/>
          <w:szCs w:val="21"/>
        </w:rPr>
      </w:pPr>
      <w:r>
        <w:rPr>
          <w:rFonts w:hint="eastAsia" w:asciiTheme="majorEastAsia" w:hAnsiTheme="majorEastAsia" w:eastAsiaTheme="majorEastAsia" w:cstheme="majorEastAsia"/>
          <w:caps w:val="0"/>
          <w:color w:val="666666"/>
          <w:spacing w:val="0"/>
          <w:sz w:val="21"/>
          <w:szCs w:val="21"/>
          <w:u w:val="none"/>
        </w:rPr>
        <w:br w:type="textWrapping"/>
      </w:r>
      <w:r>
        <w:rPr>
          <w:rStyle w:val="7"/>
          <w:rFonts w:hint="eastAsia" w:asciiTheme="majorEastAsia" w:hAnsiTheme="majorEastAsia" w:eastAsiaTheme="majorEastAsia" w:cstheme="majorEastAsia"/>
          <w:caps w:val="0"/>
          <w:color w:val="000000"/>
          <w:spacing w:val="0"/>
          <w:sz w:val="21"/>
          <w:szCs w:val="21"/>
          <w:u w:val="none"/>
        </w:rPr>
        <w:t>青岛路博提供专业技术指导和售后服务！</w:t>
      </w:r>
    </w:p>
    <w:p>
      <w:pPr>
        <w:rPr>
          <w:rFonts w:ascii="微软雅黑" w:hAnsi="微软雅黑" w:eastAsia="微软雅黑" w:cs="微软雅黑"/>
          <w:i w:val="0"/>
          <w:caps w:val="0"/>
          <w:color w:val="000000"/>
          <w:spacing w:val="0"/>
          <w:sz w:val="16"/>
          <w:szCs w:val="16"/>
          <w:shd w:val="clear"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rFonts w:hint="eastAsia"/>
        <w:lang w:eastAsia="zh-CN"/>
      </w:rPr>
      <w:t>产品负责：赵丽</w:t>
    </w:r>
    <w:r>
      <w:rPr>
        <w:rFonts w:hint="eastAsia"/>
        <w:lang w:val="en-US" w:eastAsia="zh-CN"/>
      </w:rPr>
      <w:t xml:space="preserve">        TEL:15589812373             QQ：971506394</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114300" distR="114300">
          <wp:extent cx="5268595" cy="745490"/>
          <wp:effectExtent l="0" t="0" r="4445" b="1270"/>
          <wp:docPr id="2" name="图片 1" descr="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444"/>
                  <pic:cNvPicPr>
                    <a:picLocks noChangeAspect="1"/>
                  </pic:cNvPicPr>
                </pic:nvPicPr>
                <pic:blipFill>
                  <a:blip r:embed="rId1"/>
                  <a:stretch>
                    <a:fillRect/>
                  </a:stretch>
                </pic:blipFill>
                <pic:spPr>
                  <a:xfrm>
                    <a:off x="0" y="0"/>
                    <a:ext cx="5268595" cy="745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50608"/>
    <w:rsid w:val="7885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2020-05-23T05:43:00Z</dcterms:created>
  <dc:creator>Administrator</dc:creator>
  <cp:lastModifiedBy>Administrator</cp:lastModifiedBy>
  <dcterms:modified xsi:type="dcterms:W3CDTF">2020-05-23T05:50:10Z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