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5C" w:rsidRPr="00306B5C" w:rsidRDefault="00306B5C" w:rsidP="00306B5C">
      <w:pPr>
        <w:widowControl/>
        <w:spacing w:before="100" w:beforeAutospacing="1" w:line="452" w:lineRule="atLeast"/>
        <w:jc w:val="left"/>
        <w:outlineLvl w:val="0"/>
        <w:rPr>
          <w:rFonts w:ascii="Arial" w:eastAsia="宋体" w:hAnsi="Arial" w:cs="Arial"/>
          <w:b/>
          <w:bCs/>
          <w:color w:val="000000"/>
          <w:kern w:val="36"/>
          <w:sz w:val="48"/>
          <w:szCs w:val="48"/>
        </w:rPr>
      </w:pPr>
      <w:r w:rsidRPr="00306B5C">
        <w:rPr>
          <w:rFonts w:ascii="宋体" w:eastAsia="宋体" w:hAnsi="宋体" w:cs="Arial" w:hint="eastAsia"/>
          <w:b/>
          <w:bCs/>
          <w:color w:val="000000"/>
          <w:kern w:val="36"/>
          <w:sz w:val="27"/>
          <w:szCs w:val="27"/>
        </w:rPr>
        <w:t>1. 产品介绍</w:t>
      </w:r>
    </w:p>
    <w:p w:rsidR="00306B5C" w:rsidRPr="00306B5C" w:rsidRDefault="00306B5C" w:rsidP="00306B5C">
      <w:pPr>
        <w:widowControl/>
        <w:spacing w:before="100" w:beforeAutospacing="1"/>
        <w:jc w:val="left"/>
        <w:outlineLvl w:val="1"/>
        <w:rPr>
          <w:rFonts w:ascii="Arial" w:eastAsia="宋体" w:hAnsi="Arial" w:cs="Arial"/>
          <w:b/>
          <w:bCs/>
          <w:color w:val="000000"/>
          <w:kern w:val="0"/>
          <w:sz w:val="36"/>
          <w:szCs w:val="36"/>
        </w:rPr>
      </w:pPr>
      <w:r w:rsidRPr="00306B5C">
        <w:rPr>
          <w:rFonts w:ascii="Times New Roman" w:eastAsia="宋体" w:hAnsi="Times New Roman" w:cs="Times New Roman"/>
          <w:b/>
          <w:bCs/>
          <w:color w:val="000000"/>
          <w:kern w:val="0"/>
          <w:sz w:val="27"/>
          <w:szCs w:val="27"/>
        </w:rPr>
        <w:t>1.1</w:t>
      </w:r>
      <w:r w:rsidRPr="00306B5C">
        <w:rPr>
          <w:rFonts w:ascii="宋体" w:eastAsia="宋体" w:hAnsi="宋体" w:cs="Arial" w:hint="eastAsia"/>
          <w:b/>
          <w:bCs/>
          <w:color w:val="000000"/>
          <w:kern w:val="0"/>
          <w:sz w:val="27"/>
          <w:szCs w:val="27"/>
        </w:rPr>
        <w:t>产品概述</w:t>
      </w:r>
    </w:p>
    <w:p w:rsidR="00306B5C" w:rsidRPr="00306B5C" w:rsidRDefault="00306B5C" w:rsidP="00306B5C">
      <w:pPr>
        <w:widowControl/>
        <w:shd w:val="clear" w:color="auto" w:fill="FFFFFF"/>
        <w:spacing w:before="84"/>
        <w:ind w:firstLine="469"/>
        <w:jc w:val="left"/>
        <w:rPr>
          <w:rFonts w:ascii="Arial" w:eastAsia="宋体" w:hAnsi="Arial" w:cs="Arial"/>
          <w:color w:val="000000"/>
          <w:kern w:val="0"/>
          <w:sz w:val="27"/>
          <w:szCs w:val="27"/>
        </w:rPr>
      </w:pPr>
      <w:r w:rsidRPr="00306B5C">
        <w:rPr>
          <w:rFonts w:ascii="宋体" w:eastAsia="宋体" w:hAnsi="宋体" w:cs="Arial" w:hint="eastAsia"/>
          <w:color w:val="000000"/>
          <w:kern w:val="0"/>
          <w:sz w:val="23"/>
          <w:szCs w:val="23"/>
        </w:rPr>
        <w:t>随着餐饮行业发展，餐饮业油烟的直接排放严重影响周边居民的生活环境而导致环境纠纷不断。油烟颗粒粒径分布在0.1-10微米之间，具有粒径小、粘附性强等特点，形成的油烟污染量大、面广、低空扩散性强是城市PM2.5的重要来源，并且油烟气的成分非常复杂，主要有醛、酮、烃、脂肪酸、醇、芳香族化合物、酯、内酯、杂环化合物等，其中包括苯并芘、挥发性亚硝胺、杂环胺类化合物等已知高致癌物。我司推出的RS-LB-***-FL型油烟变送器，采用高压吸附法，经感应极板电荷采集对油烟浓度进行定量计算。</w:t>
      </w:r>
    </w:p>
    <w:p w:rsidR="00306B5C" w:rsidRPr="00306B5C" w:rsidRDefault="00306B5C" w:rsidP="00306B5C">
      <w:pPr>
        <w:widowControl/>
        <w:shd w:val="clear" w:color="auto" w:fill="FFFFFF"/>
        <w:spacing w:before="84"/>
        <w:ind w:firstLine="469"/>
        <w:jc w:val="left"/>
        <w:rPr>
          <w:rFonts w:ascii="Arial" w:eastAsia="宋体" w:hAnsi="Arial" w:cs="Arial"/>
          <w:color w:val="000000"/>
          <w:kern w:val="0"/>
          <w:sz w:val="27"/>
          <w:szCs w:val="27"/>
        </w:rPr>
      </w:pPr>
      <w:r w:rsidRPr="00306B5C">
        <w:rPr>
          <w:rFonts w:ascii="宋体" w:eastAsia="宋体" w:hAnsi="宋体" w:cs="Arial" w:hint="eastAsia"/>
          <w:color w:val="000000"/>
          <w:kern w:val="0"/>
          <w:sz w:val="23"/>
          <w:szCs w:val="23"/>
        </w:rPr>
        <w:t>该产品采用管道式安装，可直接安装于油烟排出管道，采集结构采用耐高温高湿涂层，可长期工作于80度以上的油烟环境。产品通信模式可选择；第一种采用GPRS通信，有网络的地方即可使用，设备自带一张物联卡，直接将数据上传我司免费监控云平台，第二种方式采用4G通信，传输数据速度更快。</w:t>
      </w:r>
    </w:p>
    <w:p w:rsidR="00306B5C" w:rsidRPr="00306B5C" w:rsidRDefault="00306B5C" w:rsidP="00306B5C">
      <w:pPr>
        <w:widowControl/>
        <w:spacing w:before="100" w:beforeAutospacing="1"/>
        <w:jc w:val="left"/>
        <w:outlineLvl w:val="1"/>
        <w:rPr>
          <w:rFonts w:ascii="Arial" w:eastAsia="宋体" w:hAnsi="Arial" w:cs="Arial"/>
          <w:b/>
          <w:bCs/>
          <w:color w:val="000000"/>
          <w:kern w:val="0"/>
          <w:sz w:val="36"/>
          <w:szCs w:val="36"/>
        </w:rPr>
      </w:pPr>
      <w:r>
        <w:rPr>
          <w:rFonts w:ascii="宋体" w:eastAsia="宋体" w:hAnsi="宋体" w:cs="Arial"/>
          <w:b/>
          <w:bCs/>
          <w:noProof/>
          <w:color w:val="000000"/>
          <w:kern w:val="0"/>
          <w:sz w:val="27"/>
          <w:szCs w:val="27"/>
        </w:rPr>
        <w:lastRenderedPageBreak/>
        <w:drawing>
          <wp:inline distT="0" distB="0" distL="0" distR="0">
            <wp:extent cx="5709920" cy="5709920"/>
            <wp:effectExtent l="19050" t="0" r="5080" b="0"/>
            <wp:docPr id="8" name="图片 1" descr="QQ截图20200525092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25092805.png"/>
                    <pic:cNvPicPr>
                      <a:picLocks noChangeAspect="1" noChangeArrowheads="1"/>
                    </pic:cNvPicPr>
                  </pic:nvPicPr>
                  <pic:blipFill>
                    <a:blip r:embed="rId6"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306B5C" w:rsidRPr="00306B5C" w:rsidRDefault="00306B5C" w:rsidP="00306B5C">
      <w:pPr>
        <w:widowControl/>
        <w:spacing w:before="100" w:beforeAutospacing="1"/>
        <w:jc w:val="left"/>
        <w:outlineLvl w:val="1"/>
        <w:rPr>
          <w:rFonts w:ascii="Arial" w:eastAsia="宋体" w:hAnsi="Arial" w:cs="Arial"/>
          <w:b/>
          <w:bCs/>
          <w:color w:val="000000"/>
          <w:kern w:val="0"/>
          <w:sz w:val="36"/>
          <w:szCs w:val="36"/>
        </w:rPr>
      </w:pPr>
      <w:r w:rsidRPr="00306B5C">
        <w:rPr>
          <w:rFonts w:ascii="Times New Roman" w:eastAsia="宋体" w:hAnsi="Times New Roman" w:cs="Times New Roman"/>
          <w:b/>
          <w:bCs/>
          <w:color w:val="000000"/>
          <w:kern w:val="0"/>
          <w:sz w:val="27"/>
          <w:szCs w:val="27"/>
        </w:rPr>
        <w:t>1.2</w:t>
      </w:r>
      <w:r w:rsidRPr="00306B5C">
        <w:rPr>
          <w:rFonts w:ascii="宋体" w:eastAsia="宋体" w:hAnsi="宋体" w:cs="Arial" w:hint="eastAsia"/>
          <w:b/>
          <w:bCs/>
          <w:color w:val="000000"/>
          <w:kern w:val="0"/>
          <w:sz w:val="27"/>
          <w:szCs w:val="27"/>
        </w:rPr>
        <w:t>功能特点</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■采用我司多年经验，高精度高耐用油烟采集结构，可长期耐高温高湿环境。</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■24小时不间断油烟浓度测量。</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■独创结构设计，采样部分长期免清洗免维护，外周过滤网最长可1年清洗一次。</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■油烟采集探头可长期工作于80度油烟环境。</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lastRenderedPageBreak/>
        <w:t>■GPRS通信：采用GRPS传输方式，无需现场布线，没有距离限制。</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■4G通信：采用4G传输方式，无需现场布线，没有距离限制，传输速度更快。</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■网络设备上传我司免费监控云平台（其他平台可定制）。</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■赠送物联卡。</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■产品采用管道法兰盘安装，安装方便，防护等级高，无易损耗部件寿命长。</w:t>
      </w:r>
    </w:p>
    <w:p w:rsidR="00306B5C" w:rsidRPr="00306B5C" w:rsidRDefault="00306B5C" w:rsidP="00306B5C">
      <w:pPr>
        <w:widowControl/>
        <w:spacing w:before="100" w:beforeAutospacing="1" w:after="100" w:afterAutospacing="1"/>
        <w:jc w:val="left"/>
        <w:outlineLvl w:val="1"/>
        <w:rPr>
          <w:rFonts w:ascii="Arial" w:eastAsia="宋体" w:hAnsi="Arial" w:cs="Arial"/>
          <w:b/>
          <w:bCs/>
          <w:color w:val="000000"/>
          <w:kern w:val="0"/>
          <w:sz w:val="36"/>
          <w:szCs w:val="36"/>
        </w:rPr>
      </w:pPr>
      <w:r w:rsidRPr="00306B5C">
        <w:rPr>
          <w:rFonts w:ascii="宋体" w:eastAsia="宋体" w:hAnsi="宋体" w:cs="Arial" w:hint="eastAsia"/>
          <w:b/>
          <w:bCs/>
          <w:color w:val="000000"/>
          <w:kern w:val="0"/>
          <w:sz w:val="27"/>
          <w:szCs w:val="27"/>
        </w:rPr>
        <w:t>1.3主要技术参数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5400"/>
      </w:tblGrid>
      <w:tr w:rsidR="00306B5C" w:rsidRPr="00306B5C" w:rsidTr="00306B5C">
        <w:tc>
          <w:tcPr>
            <w:tcW w:w="3120"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直流供电（默认）</w:t>
            </w:r>
          </w:p>
        </w:tc>
        <w:tc>
          <w:tcPr>
            <w:tcW w:w="5400" w:type="dxa"/>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DC   12-30V</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最大功耗</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0.35W</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通信接口</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GPRS/GSM，中国移动或中国联通的手机网络</w:t>
            </w:r>
          </w:p>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4G中国移动或中国联通或中国电信的手机网络</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油烟探头工作环境</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-20℃~+80℃，0%RH~95%RH</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变送器电路工作环境</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-20℃~+55℃</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油烟测量量程</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0~20mg/m³</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测量对象</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食物烹饪、加工过程中挥发的油脂、有机质及其加热分解或裂解产物</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油烟数值分辨率</w:t>
            </w:r>
          </w:p>
        </w:tc>
        <w:tc>
          <w:tcPr>
            <w:tcW w:w="540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0.01mg/m³</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数据刷新时间</w:t>
            </w:r>
          </w:p>
        </w:tc>
        <w:tc>
          <w:tcPr>
            <w:tcW w:w="540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1s</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lastRenderedPageBreak/>
              <w:t>油烟测量精度</w:t>
            </w:r>
          </w:p>
        </w:tc>
        <w:tc>
          <w:tcPr>
            <w:tcW w:w="540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±8%FS±0.5mg/m³</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零点漂移</w:t>
            </w:r>
          </w:p>
        </w:tc>
        <w:tc>
          <w:tcPr>
            <w:tcW w:w="540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0.2mg/m³</w:t>
            </w:r>
          </w:p>
        </w:tc>
      </w:tr>
      <w:tr w:rsidR="00306B5C" w:rsidRPr="00306B5C" w:rsidTr="00306B5C">
        <w:tc>
          <w:tcPr>
            <w:tcW w:w="3120" w:type="dxa"/>
            <w:tcBorders>
              <w:top w:val="nil"/>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安装方式</w:t>
            </w:r>
          </w:p>
        </w:tc>
        <w:tc>
          <w:tcPr>
            <w:tcW w:w="5400" w:type="dxa"/>
            <w:tcBorders>
              <w:top w:val="nil"/>
              <w:left w:val="nil"/>
              <w:bottom w:val="single" w:sz="6" w:space="0" w:color="auto"/>
              <w:right w:val="single" w:sz="6" w:space="0" w:color="auto"/>
            </w:tcBorders>
            <w:tcMar>
              <w:top w:w="0" w:type="dxa"/>
              <w:left w:w="117" w:type="dxa"/>
              <w:bottom w:w="0" w:type="dxa"/>
              <w:right w:w="117" w:type="dxa"/>
            </w:tcMar>
            <w:vAlign w:val="cente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法兰盘安装</w:t>
            </w:r>
          </w:p>
        </w:tc>
      </w:tr>
    </w:tbl>
    <w:p w:rsidR="00306B5C" w:rsidRPr="00306B5C" w:rsidRDefault="00306B5C" w:rsidP="00306B5C">
      <w:pPr>
        <w:widowControl/>
        <w:jc w:val="left"/>
        <w:rPr>
          <w:rFonts w:ascii="宋体" w:eastAsia="宋体" w:hAnsi="宋体" w:cs="宋体"/>
          <w:kern w:val="0"/>
          <w:sz w:val="24"/>
          <w:szCs w:val="24"/>
        </w:rPr>
      </w:pPr>
      <w:r w:rsidRPr="00306B5C">
        <w:rPr>
          <w:rFonts w:ascii="Times New Roman" w:eastAsia="宋体" w:hAnsi="Times New Roman" w:cs="Times New Roman"/>
          <w:color w:val="000000"/>
          <w:kern w:val="0"/>
          <w:sz w:val="27"/>
          <w:szCs w:val="27"/>
        </w:rPr>
        <w:t>1.4</w:t>
      </w:r>
      <w:r w:rsidRPr="00306B5C">
        <w:rPr>
          <w:rFonts w:ascii="宋体" w:eastAsia="宋体" w:hAnsi="宋体" w:cs="宋体" w:hint="eastAsia"/>
          <w:color w:val="000000"/>
          <w:kern w:val="0"/>
          <w:sz w:val="27"/>
          <w:szCs w:val="27"/>
        </w:rPr>
        <w:t>产品选型</w:t>
      </w:r>
      <w:r w:rsidRPr="00306B5C">
        <w:rPr>
          <w:rFonts w:ascii="宋体" w:eastAsia="宋体" w:hAnsi="宋体" w:cs="宋体" w:hint="eastAsia"/>
          <w:color w:val="000000"/>
          <w:kern w:val="0"/>
          <w:sz w:val="27"/>
          <w:szCs w:val="27"/>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960"/>
        <w:gridCol w:w="1050"/>
        <w:gridCol w:w="1425"/>
        <w:gridCol w:w="4065"/>
      </w:tblGrid>
      <w:tr w:rsidR="00306B5C" w:rsidRPr="00306B5C" w:rsidTr="00306B5C">
        <w:trPr>
          <w:trHeight w:val="105"/>
        </w:trPr>
        <w:tc>
          <w:tcPr>
            <w:tcW w:w="660"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spacing w:line="105" w:lineRule="atLeast"/>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RS-</w:t>
            </w:r>
          </w:p>
        </w:tc>
        <w:tc>
          <w:tcPr>
            <w:tcW w:w="3420" w:type="dxa"/>
            <w:gridSpan w:val="3"/>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10"/>
                <w:szCs w:val="27"/>
              </w:rPr>
            </w:pPr>
          </w:p>
        </w:tc>
        <w:tc>
          <w:tcPr>
            <w:tcW w:w="4065" w:type="dxa"/>
            <w:tcBorders>
              <w:top w:val="single" w:sz="6" w:space="0" w:color="auto"/>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spacing w:line="105" w:lineRule="atLeast"/>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公司代号</w:t>
            </w:r>
          </w:p>
        </w:tc>
      </w:tr>
      <w:tr w:rsidR="00306B5C" w:rsidRPr="00306B5C" w:rsidTr="00306B5C">
        <w:trPr>
          <w:trHeight w:val="345"/>
        </w:trPr>
        <w:tc>
          <w:tcPr>
            <w:tcW w:w="660" w:type="dxa"/>
            <w:vMerge w:val="restart"/>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27"/>
                <w:szCs w:val="27"/>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LB-</w:t>
            </w:r>
          </w:p>
        </w:tc>
        <w:tc>
          <w:tcPr>
            <w:tcW w:w="2475" w:type="dxa"/>
            <w:gridSpan w:val="2"/>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27"/>
                <w:szCs w:val="27"/>
              </w:rPr>
            </w:pPr>
          </w:p>
        </w:tc>
        <w:tc>
          <w:tcPr>
            <w:tcW w:w="406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油烟变送器</w:t>
            </w:r>
          </w:p>
        </w:tc>
      </w:tr>
      <w:tr w:rsidR="00306B5C" w:rsidRPr="00306B5C" w:rsidTr="00306B5C">
        <w:trPr>
          <w:trHeight w:val="285"/>
        </w:trPr>
        <w:tc>
          <w:tcPr>
            <w:tcW w:w="0" w:type="auto"/>
            <w:vMerge/>
            <w:tcBorders>
              <w:top w:val="nil"/>
              <w:left w:val="single" w:sz="6" w:space="0" w:color="auto"/>
              <w:bottom w:val="single" w:sz="6" w:space="0" w:color="auto"/>
              <w:right w:val="single" w:sz="6" w:space="0" w:color="auto"/>
            </w:tcBorders>
            <w:vAlign w:val="center"/>
            <w:hideMark/>
          </w:tcPr>
          <w:p w:rsidR="00306B5C" w:rsidRPr="00306B5C" w:rsidRDefault="00306B5C" w:rsidP="00306B5C">
            <w:pPr>
              <w:widowControl/>
              <w:jc w:val="left"/>
              <w:rPr>
                <w:rFonts w:ascii="Arial" w:eastAsia="宋体" w:hAnsi="Arial" w:cs="Arial"/>
                <w:color w:val="000000"/>
                <w:kern w:val="0"/>
                <w:sz w:val="27"/>
                <w:szCs w:val="27"/>
              </w:rPr>
            </w:pPr>
          </w:p>
        </w:tc>
        <w:tc>
          <w:tcPr>
            <w:tcW w:w="960" w:type="dxa"/>
            <w:vMerge w:val="restart"/>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27"/>
                <w:szCs w:val="27"/>
              </w:rPr>
            </w:pPr>
          </w:p>
        </w:tc>
        <w:tc>
          <w:tcPr>
            <w:tcW w:w="105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GPRS-</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27"/>
                <w:szCs w:val="27"/>
              </w:rPr>
            </w:pPr>
          </w:p>
        </w:tc>
        <w:tc>
          <w:tcPr>
            <w:tcW w:w="406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GPRS模式通讯</w:t>
            </w:r>
          </w:p>
        </w:tc>
      </w:tr>
      <w:tr w:rsidR="00306B5C" w:rsidRPr="00306B5C" w:rsidTr="00306B5C">
        <w:trPr>
          <w:trHeight w:val="120"/>
        </w:trPr>
        <w:tc>
          <w:tcPr>
            <w:tcW w:w="0" w:type="auto"/>
            <w:vMerge/>
            <w:tcBorders>
              <w:top w:val="nil"/>
              <w:left w:val="single" w:sz="6" w:space="0" w:color="auto"/>
              <w:bottom w:val="single" w:sz="6" w:space="0" w:color="auto"/>
              <w:right w:val="single" w:sz="6" w:space="0" w:color="auto"/>
            </w:tcBorders>
            <w:vAlign w:val="center"/>
            <w:hideMark/>
          </w:tcPr>
          <w:p w:rsidR="00306B5C" w:rsidRPr="00306B5C" w:rsidRDefault="00306B5C" w:rsidP="00306B5C">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06B5C" w:rsidRPr="00306B5C" w:rsidRDefault="00306B5C" w:rsidP="00306B5C">
            <w:pPr>
              <w:widowControl/>
              <w:jc w:val="left"/>
              <w:rPr>
                <w:rFonts w:ascii="Arial" w:eastAsia="宋体" w:hAnsi="Arial" w:cs="Arial"/>
                <w:color w:val="000000"/>
                <w:kern w:val="0"/>
                <w:sz w:val="27"/>
                <w:szCs w:val="27"/>
              </w:rPr>
            </w:pPr>
          </w:p>
        </w:tc>
        <w:tc>
          <w:tcPr>
            <w:tcW w:w="105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spacing w:line="120" w:lineRule="atLeast"/>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4G-</w:t>
            </w: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12"/>
                <w:szCs w:val="27"/>
              </w:rPr>
            </w:pPr>
          </w:p>
        </w:tc>
        <w:tc>
          <w:tcPr>
            <w:tcW w:w="406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spacing w:line="120" w:lineRule="atLeast"/>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4G模式通讯</w:t>
            </w:r>
          </w:p>
        </w:tc>
      </w:tr>
      <w:tr w:rsidR="00306B5C" w:rsidRPr="00306B5C" w:rsidTr="00306B5C">
        <w:trPr>
          <w:trHeight w:val="345"/>
        </w:trPr>
        <w:tc>
          <w:tcPr>
            <w:tcW w:w="0" w:type="auto"/>
            <w:vMerge/>
            <w:tcBorders>
              <w:top w:val="nil"/>
              <w:left w:val="single" w:sz="6" w:space="0" w:color="auto"/>
              <w:bottom w:val="single" w:sz="6" w:space="0" w:color="auto"/>
              <w:right w:val="single" w:sz="6" w:space="0" w:color="auto"/>
            </w:tcBorders>
            <w:vAlign w:val="center"/>
            <w:hideMark/>
          </w:tcPr>
          <w:p w:rsidR="00306B5C" w:rsidRPr="00306B5C" w:rsidRDefault="00306B5C" w:rsidP="00306B5C">
            <w:pPr>
              <w:widowControl/>
              <w:jc w:val="left"/>
              <w:rPr>
                <w:rFonts w:ascii="Arial" w:eastAsia="宋体" w:hAnsi="Arial" w:cs="Arial"/>
                <w:color w:val="000000"/>
                <w:kern w:val="0"/>
                <w:sz w:val="27"/>
                <w:szCs w:val="27"/>
              </w:rPr>
            </w:pPr>
          </w:p>
        </w:tc>
        <w:tc>
          <w:tcPr>
            <w:tcW w:w="0" w:type="auto"/>
            <w:vMerge/>
            <w:tcBorders>
              <w:top w:val="nil"/>
              <w:left w:val="nil"/>
              <w:bottom w:val="single" w:sz="6" w:space="0" w:color="auto"/>
              <w:right w:val="single" w:sz="6" w:space="0" w:color="auto"/>
            </w:tcBorders>
            <w:vAlign w:val="center"/>
            <w:hideMark/>
          </w:tcPr>
          <w:p w:rsidR="00306B5C" w:rsidRPr="00306B5C" w:rsidRDefault="00306B5C" w:rsidP="00306B5C">
            <w:pPr>
              <w:widowControl/>
              <w:jc w:val="left"/>
              <w:rPr>
                <w:rFonts w:ascii="Arial" w:eastAsia="宋体" w:hAnsi="Arial" w:cs="Arial"/>
                <w:color w:val="000000"/>
                <w:kern w:val="0"/>
                <w:sz w:val="27"/>
                <w:szCs w:val="27"/>
              </w:rPr>
            </w:pPr>
          </w:p>
        </w:tc>
        <w:tc>
          <w:tcPr>
            <w:tcW w:w="1050"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left"/>
              <w:rPr>
                <w:rFonts w:ascii="Arial" w:eastAsia="宋体" w:hAnsi="Arial" w:cs="Arial"/>
                <w:color w:val="000000"/>
                <w:kern w:val="0"/>
                <w:sz w:val="27"/>
                <w:szCs w:val="27"/>
              </w:rPr>
            </w:pPr>
          </w:p>
        </w:tc>
        <w:tc>
          <w:tcPr>
            <w:tcW w:w="142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FL</w:t>
            </w:r>
          </w:p>
        </w:tc>
        <w:tc>
          <w:tcPr>
            <w:tcW w:w="4065" w:type="dxa"/>
            <w:tcBorders>
              <w:top w:val="nil"/>
              <w:left w:val="nil"/>
              <w:bottom w:val="single" w:sz="6" w:space="0" w:color="auto"/>
              <w:right w:val="single" w:sz="6" w:space="0" w:color="auto"/>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法兰安装</w:t>
            </w:r>
          </w:p>
        </w:tc>
      </w:tr>
    </w:tbl>
    <w:p w:rsidR="00306B5C" w:rsidRPr="00306B5C" w:rsidRDefault="00306B5C" w:rsidP="00306B5C">
      <w:pPr>
        <w:widowControl/>
        <w:spacing w:before="100" w:beforeAutospacing="1" w:line="452" w:lineRule="atLeast"/>
        <w:jc w:val="left"/>
        <w:outlineLvl w:val="0"/>
        <w:rPr>
          <w:rFonts w:ascii="Arial" w:eastAsia="宋体" w:hAnsi="Arial" w:cs="Arial"/>
          <w:b/>
          <w:bCs/>
          <w:color w:val="000000"/>
          <w:kern w:val="36"/>
          <w:sz w:val="48"/>
          <w:szCs w:val="48"/>
        </w:rPr>
      </w:pPr>
      <w:r>
        <w:rPr>
          <w:rFonts w:ascii="宋体" w:eastAsia="宋体" w:hAnsi="宋体" w:cs="Arial"/>
          <w:b/>
          <w:bCs/>
          <w:noProof/>
          <w:color w:val="000000"/>
          <w:kern w:val="36"/>
          <w:sz w:val="27"/>
          <w:szCs w:val="27"/>
        </w:rPr>
        <w:lastRenderedPageBreak/>
        <w:drawing>
          <wp:inline distT="0" distB="0" distL="0" distR="0">
            <wp:extent cx="5709920" cy="5709920"/>
            <wp:effectExtent l="19050" t="0" r="5080" b="0"/>
            <wp:docPr id="7" name="图片 2" descr="QQ截图20200525092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25092830.png"/>
                    <pic:cNvPicPr>
                      <a:picLocks noChangeAspect="1" noChangeArrowheads="1"/>
                    </pic:cNvPicPr>
                  </pic:nvPicPr>
                  <pic:blipFill>
                    <a:blip r:embed="rId7"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306B5C" w:rsidRPr="00306B5C" w:rsidRDefault="00306B5C" w:rsidP="00306B5C">
      <w:pPr>
        <w:widowControl/>
        <w:spacing w:before="100" w:beforeAutospacing="1" w:line="452" w:lineRule="atLeast"/>
        <w:jc w:val="left"/>
        <w:outlineLvl w:val="0"/>
        <w:rPr>
          <w:rFonts w:ascii="Arial" w:eastAsia="宋体" w:hAnsi="Arial" w:cs="Arial"/>
          <w:b/>
          <w:bCs/>
          <w:color w:val="000000"/>
          <w:kern w:val="36"/>
          <w:sz w:val="48"/>
          <w:szCs w:val="48"/>
        </w:rPr>
      </w:pPr>
      <w:r w:rsidRPr="00306B5C">
        <w:rPr>
          <w:rFonts w:ascii="宋体" w:eastAsia="宋体" w:hAnsi="宋体" w:cs="Arial" w:hint="eastAsia"/>
          <w:b/>
          <w:bCs/>
          <w:color w:val="000000"/>
          <w:kern w:val="36"/>
          <w:sz w:val="27"/>
          <w:szCs w:val="27"/>
        </w:rPr>
        <w:t>2.设备安装说明</w:t>
      </w:r>
    </w:p>
    <w:p w:rsidR="00306B5C" w:rsidRPr="00306B5C" w:rsidRDefault="00306B5C" w:rsidP="00306B5C">
      <w:pPr>
        <w:widowControl/>
        <w:spacing w:before="100" w:beforeAutospacing="1"/>
        <w:jc w:val="left"/>
        <w:outlineLvl w:val="1"/>
        <w:rPr>
          <w:rFonts w:ascii="Arial" w:eastAsia="宋体" w:hAnsi="Arial" w:cs="Arial"/>
          <w:b/>
          <w:bCs/>
          <w:color w:val="000000"/>
          <w:kern w:val="0"/>
          <w:sz w:val="36"/>
          <w:szCs w:val="36"/>
        </w:rPr>
      </w:pPr>
      <w:r w:rsidRPr="00306B5C">
        <w:rPr>
          <w:rFonts w:ascii="Times New Roman" w:eastAsia="宋体" w:hAnsi="Times New Roman" w:cs="Times New Roman"/>
          <w:b/>
          <w:bCs/>
          <w:color w:val="000000"/>
          <w:kern w:val="0"/>
          <w:sz w:val="27"/>
          <w:szCs w:val="27"/>
        </w:rPr>
        <w:t>2.1</w:t>
      </w:r>
      <w:r w:rsidRPr="00306B5C">
        <w:rPr>
          <w:rFonts w:ascii="宋体" w:eastAsia="宋体" w:hAnsi="宋体" w:cs="Arial" w:hint="eastAsia"/>
          <w:b/>
          <w:bCs/>
          <w:color w:val="000000"/>
          <w:kern w:val="0"/>
          <w:sz w:val="27"/>
          <w:szCs w:val="27"/>
        </w:rPr>
        <w:t>设备安装前检查</w:t>
      </w:r>
    </w:p>
    <w:p w:rsidR="00306B5C" w:rsidRPr="00306B5C" w:rsidRDefault="00306B5C" w:rsidP="00306B5C">
      <w:pPr>
        <w:widowControl/>
        <w:spacing w:before="84" w:after="84" w:line="402" w:lineRule="atLeast"/>
        <w:jc w:val="left"/>
        <w:rPr>
          <w:rFonts w:ascii="Arial" w:eastAsia="宋体" w:hAnsi="Arial" w:cs="Arial"/>
          <w:color w:val="000000"/>
          <w:kern w:val="0"/>
          <w:sz w:val="27"/>
          <w:szCs w:val="27"/>
        </w:rPr>
      </w:pPr>
      <w:r w:rsidRPr="00306B5C">
        <w:rPr>
          <w:rFonts w:ascii="宋体" w:eastAsia="宋体" w:hAnsi="宋体" w:cs="Arial" w:hint="eastAsia"/>
          <w:b/>
          <w:bCs/>
          <w:color w:val="000000"/>
          <w:kern w:val="0"/>
          <w:sz w:val="27"/>
        </w:rPr>
        <w:t>设备清单：</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 油烟变送器设备1台</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 合格证、保修卡、校准报告等</w:t>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 膨胀塞2个、自攻螺丝2个</w:t>
      </w:r>
    </w:p>
    <w:p w:rsidR="00306B5C" w:rsidRPr="00306B5C" w:rsidRDefault="00306B5C" w:rsidP="00306B5C">
      <w:pPr>
        <w:widowControl/>
        <w:spacing w:before="100" w:beforeAutospacing="1"/>
        <w:jc w:val="left"/>
        <w:outlineLvl w:val="1"/>
        <w:rPr>
          <w:rFonts w:ascii="Arial" w:eastAsia="宋体" w:hAnsi="Arial" w:cs="Arial"/>
          <w:b/>
          <w:bCs/>
          <w:color w:val="000000"/>
          <w:kern w:val="0"/>
          <w:sz w:val="36"/>
          <w:szCs w:val="36"/>
        </w:rPr>
      </w:pPr>
      <w:r w:rsidRPr="00306B5C">
        <w:rPr>
          <w:rFonts w:ascii="Times New Roman" w:eastAsia="宋体" w:hAnsi="Times New Roman" w:cs="Times New Roman"/>
          <w:b/>
          <w:bCs/>
          <w:color w:val="000000"/>
          <w:kern w:val="0"/>
          <w:sz w:val="27"/>
          <w:szCs w:val="27"/>
        </w:rPr>
        <w:lastRenderedPageBreak/>
        <w:t>2.2 </w:t>
      </w:r>
      <w:r w:rsidRPr="00306B5C">
        <w:rPr>
          <w:rFonts w:ascii="宋体" w:eastAsia="宋体" w:hAnsi="宋体" w:cs="Arial" w:hint="eastAsia"/>
          <w:b/>
          <w:bCs/>
          <w:color w:val="000000"/>
          <w:kern w:val="0"/>
          <w:sz w:val="27"/>
          <w:szCs w:val="27"/>
        </w:rPr>
        <w:t>设备结构图以及安装方式</w:t>
      </w:r>
    </w:p>
    <w:p w:rsidR="00306B5C" w:rsidRPr="00306B5C" w:rsidRDefault="00306B5C" w:rsidP="00306B5C">
      <w:pPr>
        <w:widowControl/>
        <w:spacing w:before="84" w:after="84"/>
        <w:jc w:val="left"/>
        <w:rPr>
          <w:rFonts w:ascii="Arial" w:eastAsia="宋体" w:hAnsi="Arial" w:cs="Arial"/>
          <w:color w:val="000000"/>
          <w:kern w:val="0"/>
          <w:sz w:val="27"/>
          <w:szCs w:val="27"/>
        </w:rPr>
      </w:pPr>
      <w:r>
        <w:rPr>
          <w:rFonts w:ascii="宋体" w:eastAsia="宋体" w:hAnsi="宋体" w:cs="Arial"/>
          <w:noProof/>
          <w:color w:val="000000"/>
          <w:kern w:val="0"/>
          <w:sz w:val="27"/>
          <w:szCs w:val="27"/>
        </w:rPr>
        <w:drawing>
          <wp:inline distT="0" distB="0" distL="0" distR="0">
            <wp:extent cx="5709920" cy="5709920"/>
            <wp:effectExtent l="19050" t="0" r="5080" b="0"/>
            <wp:docPr id="6" name="图片 3" descr="QQ截图20200525093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25093126.png"/>
                    <pic:cNvPicPr>
                      <a:picLocks noChangeAspect="1" noChangeArrowheads="1"/>
                    </pic:cNvPicPr>
                  </pic:nvPicPr>
                  <pic:blipFill>
                    <a:blip r:embed="rId8"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p>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变送器可固定安装在墙体上，采集线长2米，油烟采样头长达30厘米，安装方便。</w:t>
      </w:r>
    </w:p>
    <w:p w:rsidR="00306B5C" w:rsidRPr="00306B5C" w:rsidRDefault="00306B5C" w:rsidP="00306B5C">
      <w:pPr>
        <w:widowControl/>
        <w:spacing w:before="84" w:after="84"/>
        <w:ind w:firstLine="469"/>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油烟传感器上的法兰盘的位置可调，用户可以根据自己的需求调节法兰盘控制油烟采样头进出长短。</w:t>
      </w:r>
    </w:p>
    <w:p w:rsidR="00306B5C" w:rsidRPr="00306B5C" w:rsidRDefault="00306B5C" w:rsidP="00306B5C">
      <w:pPr>
        <w:widowControl/>
        <w:spacing w:before="84" w:after="84"/>
        <w:ind w:firstLine="469"/>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lastRenderedPageBreak/>
        <w:t>先在通风管道上打一个直径 16mm 的孔，将风管插入到孔中，可以通过调节法兰盘的位置控制设备进入的长短。将三个螺丝安装到法兰盘上，固定设备，完成安装。</w:t>
      </w:r>
    </w:p>
    <w:p w:rsidR="00306B5C" w:rsidRPr="00306B5C" w:rsidRDefault="00306B5C" w:rsidP="00306B5C">
      <w:pPr>
        <w:widowControl/>
        <w:spacing w:before="84" w:after="84"/>
        <w:ind w:firstLine="469"/>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注意：油烟气体采样孔冲向采集区域，洁净空气进气口向下已达到防水效果！</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0"/>
        <w:gridCol w:w="2700"/>
        <w:gridCol w:w="3225"/>
      </w:tblGrid>
      <w:tr w:rsidR="00306B5C" w:rsidRPr="00306B5C" w:rsidTr="00306B5C">
        <w:tc>
          <w:tcPr>
            <w:tcW w:w="1920"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spacing w:after="167"/>
              <w:jc w:val="left"/>
              <w:rPr>
                <w:rFonts w:ascii="Arial" w:eastAsia="宋体" w:hAnsi="Arial" w:cs="Arial"/>
                <w:color w:val="000000"/>
                <w:kern w:val="0"/>
                <w:sz w:val="27"/>
                <w:szCs w:val="27"/>
              </w:rPr>
            </w:pPr>
          </w:p>
        </w:tc>
        <w:tc>
          <w:tcPr>
            <w:tcW w:w="2700" w:type="dxa"/>
            <w:tcBorders>
              <w:top w:val="single" w:sz="6" w:space="0" w:color="000000"/>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线色</w:t>
            </w:r>
          </w:p>
        </w:tc>
        <w:tc>
          <w:tcPr>
            <w:tcW w:w="3225" w:type="dxa"/>
            <w:tcBorders>
              <w:top w:val="single" w:sz="6" w:space="0" w:color="000000"/>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说明</w:t>
            </w:r>
          </w:p>
        </w:tc>
      </w:tr>
      <w:tr w:rsidR="00306B5C" w:rsidRPr="00306B5C" w:rsidTr="00306B5C">
        <w:tc>
          <w:tcPr>
            <w:tcW w:w="1920" w:type="dxa"/>
            <w:vMerge w:val="restart"/>
            <w:tcBorders>
              <w:top w:val="nil"/>
              <w:left w:val="single" w:sz="6" w:space="0" w:color="000000"/>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电</w:t>
            </w:r>
          </w:p>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源</w:t>
            </w:r>
          </w:p>
        </w:tc>
        <w:tc>
          <w:tcPr>
            <w:tcW w:w="2700" w:type="dxa"/>
            <w:tcBorders>
              <w:top w:val="nil"/>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棕色</w:t>
            </w:r>
          </w:p>
        </w:tc>
        <w:tc>
          <w:tcPr>
            <w:tcW w:w="3225" w:type="dxa"/>
            <w:tcBorders>
              <w:top w:val="nil"/>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电源正（12~30V DC）</w:t>
            </w:r>
          </w:p>
        </w:tc>
      </w:tr>
      <w:tr w:rsidR="00306B5C" w:rsidRPr="00306B5C" w:rsidTr="00306B5C">
        <w:tc>
          <w:tcPr>
            <w:tcW w:w="0" w:type="auto"/>
            <w:vMerge/>
            <w:tcBorders>
              <w:top w:val="nil"/>
              <w:left w:val="single" w:sz="6" w:space="0" w:color="000000"/>
              <w:bottom w:val="single" w:sz="6" w:space="0" w:color="000000"/>
              <w:right w:val="single" w:sz="6" w:space="0" w:color="000000"/>
            </w:tcBorders>
            <w:vAlign w:val="center"/>
            <w:hideMark/>
          </w:tcPr>
          <w:p w:rsidR="00306B5C" w:rsidRPr="00306B5C" w:rsidRDefault="00306B5C" w:rsidP="00306B5C">
            <w:pPr>
              <w:widowControl/>
              <w:jc w:val="left"/>
              <w:rPr>
                <w:rFonts w:ascii="Arial" w:eastAsia="宋体" w:hAnsi="Arial" w:cs="Arial"/>
                <w:color w:val="000000"/>
                <w:kern w:val="0"/>
                <w:sz w:val="27"/>
                <w:szCs w:val="27"/>
              </w:rPr>
            </w:pPr>
          </w:p>
        </w:tc>
        <w:tc>
          <w:tcPr>
            <w:tcW w:w="2700" w:type="dxa"/>
            <w:tcBorders>
              <w:top w:val="nil"/>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黑色</w:t>
            </w:r>
          </w:p>
        </w:tc>
        <w:tc>
          <w:tcPr>
            <w:tcW w:w="3225" w:type="dxa"/>
            <w:tcBorders>
              <w:top w:val="nil"/>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电源负</w:t>
            </w:r>
          </w:p>
        </w:tc>
      </w:tr>
    </w:tbl>
    <w:p w:rsidR="00306B5C" w:rsidRPr="00306B5C" w:rsidRDefault="00306B5C" w:rsidP="00306B5C">
      <w:pPr>
        <w:widowControl/>
        <w:spacing w:before="100" w:beforeAutospacing="1"/>
        <w:jc w:val="left"/>
        <w:outlineLvl w:val="1"/>
        <w:rPr>
          <w:rFonts w:ascii="Arial" w:eastAsia="宋体" w:hAnsi="Arial" w:cs="Arial"/>
          <w:b/>
          <w:bCs/>
          <w:color w:val="000000"/>
          <w:kern w:val="0"/>
          <w:sz w:val="36"/>
          <w:szCs w:val="36"/>
        </w:rPr>
      </w:pPr>
      <w:r w:rsidRPr="00306B5C">
        <w:rPr>
          <w:rFonts w:ascii="宋体" w:eastAsia="宋体" w:hAnsi="宋体" w:cs="Arial" w:hint="eastAsia"/>
          <w:b/>
          <w:bCs/>
          <w:color w:val="000000"/>
          <w:kern w:val="0"/>
          <w:sz w:val="27"/>
          <w:szCs w:val="27"/>
        </w:rPr>
        <w:t>2.3上传节点说明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105"/>
        <w:gridCol w:w="3105"/>
      </w:tblGrid>
      <w:tr w:rsidR="00306B5C" w:rsidRPr="00306B5C" w:rsidTr="00306B5C">
        <w:tc>
          <w:tcPr>
            <w:tcW w:w="1560" w:type="dxa"/>
            <w:tcBorders>
              <w:top w:val="single" w:sz="6" w:space="0" w:color="000000"/>
              <w:left w:val="single" w:sz="6" w:space="0" w:color="000000"/>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寄存器地址</w:t>
            </w:r>
          </w:p>
        </w:tc>
        <w:tc>
          <w:tcPr>
            <w:tcW w:w="3105" w:type="dxa"/>
            <w:tcBorders>
              <w:top w:val="single" w:sz="6" w:space="0" w:color="000000"/>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内容</w:t>
            </w:r>
          </w:p>
        </w:tc>
        <w:tc>
          <w:tcPr>
            <w:tcW w:w="3105" w:type="dxa"/>
            <w:tcBorders>
              <w:top w:val="single" w:sz="6" w:space="0" w:color="000000"/>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扩大倍数</w:t>
            </w:r>
          </w:p>
        </w:tc>
      </w:tr>
      <w:tr w:rsidR="00306B5C" w:rsidRPr="00306B5C" w:rsidTr="00306B5C">
        <w:tc>
          <w:tcPr>
            <w:tcW w:w="1560" w:type="dxa"/>
            <w:tcBorders>
              <w:top w:val="nil"/>
              <w:left w:val="single" w:sz="6" w:space="0" w:color="000000"/>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3"/>
                <w:szCs w:val="23"/>
              </w:rPr>
              <w:t>节点</w:t>
            </w:r>
            <w:r w:rsidRPr="00306B5C">
              <w:rPr>
                <w:rFonts w:ascii="Times New Roman" w:eastAsia="宋体" w:hAnsi="Times New Roman" w:cs="Times New Roman"/>
                <w:color w:val="000000"/>
                <w:kern w:val="0"/>
                <w:sz w:val="23"/>
                <w:szCs w:val="23"/>
              </w:rPr>
              <w:t>1</w:t>
            </w:r>
          </w:p>
        </w:tc>
        <w:tc>
          <w:tcPr>
            <w:tcW w:w="3105" w:type="dxa"/>
            <w:tcBorders>
              <w:top w:val="nil"/>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油烟值</w:t>
            </w:r>
          </w:p>
        </w:tc>
        <w:tc>
          <w:tcPr>
            <w:tcW w:w="3105" w:type="dxa"/>
            <w:tcBorders>
              <w:top w:val="nil"/>
              <w:left w:val="nil"/>
              <w:bottom w:val="single" w:sz="6" w:space="0" w:color="000000"/>
              <w:right w:val="single" w:sz="6" w:space="0" w:color="000000"/>
            </w:tcBorders>
            <w:tcMar>
              <w:top w:w="0" w:type="dxa"/>
              <w:left w:w="117" w:type="dxa"/>
              <w:bottom w:w="0" w:type="dxa"/>
              <w:right w:w="117" w:type="dxa"/>
            </w:tcMar>
            <w:hideMark/>
          </w:tcPr>
          <w:p w:rsidR="00306B5C" w:rsidRPr="00306B5C" w:rsidRDefault="00306B5C" w:rsidP="00306B5C">
            <w:pPr>
              <w:widowControl/>
              <w:jc w:val="center"/>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实际值的100倍</w:t>
            </w:r>
          </w:p>
        </w:tc>
      </w:tr>
    </w:tbl>
    <w:p w:rsidR="00306B5C" w:rsidRPr="00306B5C" w:rsidRDefault="00306B5C" w:rsidP="00306B5C">
      <w:pPr>
        <w:widowControl/>
        <w:spacing w:before="84" w:after="84"/>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3.设备尺寸</w:t>
      </w:r>
    </w:p>
    <w:p w:rsidR="00306B5C" w:rsidRPr="00306B5C" w:rsidRDefault="00306B5C" w:rsidP="00306B5C">
      <w:pPr>
        <w:widowControl/>
        <w:spacing w:before="100" w:beforeAutospacing="1" w:line="452" w:lineRule="atLeast"/>
        <w:jc w:val="left"/>
        <w:outlineLvl w:val="0"/>
        <w:rPr>
          <w:rFonts w:ascii="Arial" w:eastAsia="宋体" w:hAnsi="Arial" w:cs="Arial"/>
          <w:b/>
          <w:bCs/>
          <w:color w:val="000000"/>
          <w:kern w:val="36"/>
          <w:sz w:val="48"/>
          <w:szCs w:val="48"/>
        </w:rPr>
      </w:pPr>
      <w:r>
        <w:rPr>
          <w:rFonts w:ascii="Arial" w:eastAsia="宋体" w:hAnsi="Arial" w:cs="Arial"/>
          <w:b/>
          <w:bCs/>
          <w:noProof/>
          <w:color w:val="000000"/>
          <w:kern w:val="36"/>
          <w:sz w:val="48"/>
          <w:szCs w:val="48"/>
        </w:rPr>
        <w:lastRenderedPageBreak/>
        <w:drawing>
          <wp:inline distT="0" distB="0" distL="0" distR="0">
            <wp:extent cx="5709920" cy="5709920"/>
            <wp:effectExtent l="19050" t="0" r="5080" b="0"/>
            <wp:docPr id="5" name="图片 4" descr="QQ截图20200525092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25092945.png"/>
                    <pic:cNvPicPr>
                      <a:picLocks noChangeAspect="1" noChangeArrowheads="1"/>
                    </pic:cNvPicPr>
                  </pic:nvPicPr>
                  <pic:blipFill>
                    <a:blip r:embed="rId9" cstate="print"/>
                    <a:srcRect/>
                    <a:stretch>
                      <a:fillRect/>
                    </a:stretch>
                  </pic:blipFill>
                  <pic:spPr bwMode="auto">
                    <a:xfrm>
                      <a:off x="0" y="0"/>
                      <a:ext cx="5709920" cy="5709920"/>
                    </a:xfrm>
                    <a:prstGeom prst="rect">
                      <a:avLst/>
                    </a:prstGeom>
                    <a:noFill/>
                    <a:ln w="9525">
                      <a:noFill/>
                      <a:miter lim="800000"/>
                      <a:headEnd/>
                      <a:tailEnd/>
                    </a:ln>
                  </pic:spPr>
                </pic:pic>
              </a:graphicData>
            </a:graphic>
          </wp:inline>
        </w:drawing>
      </w:r>
      <w:r w:rsidRPr="00306B5C">
        <w:rPr>
          <w:rFonts w:ascii="宋体" w:eastAsia="宋体" w:hAnsi="宋体" w:cs="Arial" w:hint="eastAsia"/>
          <w:b/>
          <w:bCs/>
          <w:color w:val="000000"/>
          <w:kern w:val="36"/>
          <w:sz w:val="27"/>
          <w:szCs w:val="27"/>
        </w:rPr>
        <w:t> </w:t>
      </w:r>
    </w:p>
    <w:p w:rsidR="00306B5C" w:rsidRPr="00306B5C" w:rsidRDefault="00306B5C" w:rsidP="00306B5C">
      <w:pPr>
        <w:widowControl/>
        <w:spacing w:before="100" w:beforeAutospacing="1" w:line="452" w:lineRule="atLeast"/>
        <w:jc w:val="left"/>
        <w:outlineLvl w:val="0"/>
        <w:rPr>
          <w:rFonts w:ascii="Arial" w:eastAsia="宋体" w:hAnsi="Arial" w:cs="Arial"/>
          <w:b/>
          <w:bCs/>
          <w:color w:val="000000"/>
          <w:kern w:val="36"/>
          <w:sz w:val="48"/>
          <w:szCs w:val="48"/>
        </w:rPr>
      </w:pPr>
      <w:r w:rsidRPr="00306B5C">
        <w:rPr>
          <w:rFonts w:ascii="MS Mincho" w:eastAsia="MS Mincho" w:hAnsi="MS Mincho" w:cs="MS Mincho" w:hint="eastAsia"/>
          <w:b/>
          <w:bCs/>
          <w:color w:val="000000"/>
          <w:kern w:val="36"/>
          <w:sz w:val="27"/>
          <w:szCs w:val="27"/>
        </w:rPr>
        <w:t>​</w:t>
      </w:r>
      <w:r w:rsidRPr="00306B5C">
        <w:rPr>
          <w:rFonts w:ascii="宋体" w:eastAsia="宋体" w:hAnsi="宋体" w:cs="Arial" w:hint="eastAsia"/>
          <w:b/>
          <w:bCs/>
          <w:color w:val="000000"/>
          <w:kern w:val="36"/>
          <w:sz w:val="27"/>
          <w:szCs w:val="27"/>
        </w:rPr>
        <w:t>4.常见问题及解决办法</w:t>
      </w:r>
    </w:p>
    <w:p w:rsidR="00306B5C" w:rsidRPr="00306B5C" w:rsidRDefault="00306B5C" w:rsidP="00306B5C">
      <w:pPr>
        <w:widowControl/>
        <w:spacing w:before="84" w:after="84" w:line="452" w:lineRule="atLeast"/>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设备无法连接到网络的原因</w:t>
      </w:r>
    </w:p>
    <w:p w:rsidR="00306B5C" w:rsidRPr="00306B5C" w:rsidRDefault="00306B5C" w:rsidP="00306B5C">
      <w:pPr>
        <w:widowControl/>
        <w:spacing w:before="84" w:after="84" w:line="452" w:lineRule="atLeast"/>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1)设备为连接电源</w:t>
      </w:r>
    </w:p>
    <w:p w:rsidR="00306B5C" w:rsidRPr="00306B5C" w:rsidRDefault="00306B5C" w:rsidP="00306B5C">
      <w:pPr>
        <w:widowControl/>
        <w:spacing w:before="84" w:after="84" w:line="452" w:lineRule="atLeast"/>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2)设备流量超出限制</w:t>
      </w:r>
    </w:p>
    <w:p w:rsidR="00306B5C" w:rsidRPr="00306B5C" w:rsidRDefault="00306B5C" w:rsidP="00306B5C">
      <w:pPr>
        <w:widowControl/>
        <w:spacing w:before="84" w:after="84" w:line="452" w:lineRule="atLeast"/>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t>3)网络信号差</w:t>
      </w:r>
    </w:p>
    <w:p w:rsidR="007B2198" w:rsidRPr="00306B5C" w:rsidRDefault="00306B5C" w:rsidP="00306B5C">
      <w:pPr>
        <w:widowControl/>
        <w:spacing w:before="84" w:after="84" w:line="452" w:lineRule="atLeast"/>
        <w:jc w:val="left"/>
        <w:rPr>
          <w:rFonts w:ascii="Arial" w:eastAsia="宋体" w:hAnsi="Arial" w:cs="Arial"/>
          <w:color w:val="000000"/>
          <w:kern w:val="0"/>
          <w:sz w:val="27"/>
          <w:szCs w:val="27"/>
        </w:rPr>
      </w:pPr>
      <w:r w:rsidRPr="00306B5C">
        <w:rPr>
          <w:rFonts w:ascii="宋体" w:eastAsia="宋体" w:hAnsi="宋体" w:cs="Arial" w:hint="eastAsia"/>
          <w:color w:val="000000"/>
          <w:kern w:val="0"/>
          <w:sz w:val="27"/>
          <w:szCs w:val="27"/>
        </w:rPr>
        <w:lastRenderedPageBreak/>
        <w:t>4)设备损坏</w:t>
      </w:r>
    </w:p>
    <w:sectPr w:rsidR="007B2198" w:rsidRPr="00306B5C" w:rsidSect="007B2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DD" w:rsidRPr="004F3FAF" w:rsidRDefault="00A36DDD" w:rsidP="00A37AEC">
      <w:pPr>
        <w:rPr>
          <w:sz w:val="24"/>
        </w:rPr>
      </w:pPr>
      <w:r>
        <w:separator/>
      </w:r>
    </w:p>
  </w:endnote>
  <w:endnote w:type="continuationSeparator" w:id="0">
    <w:p w:rsidR="00A36DDD" w:rsidRPr="004F3FAF" w:rsidRDefault="00A36DDD" w:rsidP="00A37AE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DD" w:rsidRPr="004F3FAF" w:rsidRDefault="00A36DDD" w:rsidP="00A37AEC">
      <w:pPr>
        <w:rPr>
          <w:sz w:val="24"/>
        </w:rPr>
      </w:pPr>
      <w:r>
        <w:separator/>
      </w:r>
    </w:p>
  </w:footnote>
  <w:footnote w:type="continuationSeparator" w:id="0">
    <w:p w:rsidR="00A36DDD" w:rsidRPr="004F3FAF" w:rsidRDefault="00A36DDD" w:rsidP="00A37AE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A9"/>
    <w:rsid w:val="00306B5C"/>
    <w:rsid w:val="007B2198"/>
    <w:rsid w:val="008B367E"/>
    <w:rsid w:val="00A36DDD"/>
    <w:rsid w:val="00A37AEC"/>
    <w:rsid w:val="00D2770F"/>
    <w:rsid w:val="00DB55A9"/>
    <w:rsid w:val="00F73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98"/>
    <w:pPr>
      <w:widowControl w:val="0"/>
      <w:jc w:val="both"/>
    </w:pPr>
  </w:style>
  <w:style w:type="paragraph" w:styleId="1">
    <w:name w:val="heading 1"/>
    <w:basedOn w:val="a"/>
    <w:link w:val="1Char"/>
    <w:uiPriority w:val="9"/>
    <w:qFormat/>
    <w:rsid w:val="00DB55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55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5A9"/>
    <w:rPr>
      <w:rFonts w:ascii="宋体" w:eastAsia="宋体" w:hAnsi="宋体" w:cs="宋体"/>
      <w:b/>
      <w:bCs/>
      <w:kern w:val="36"/>
      <w:sz w:val="48"/>
      <w:szCs w:val="48"/>
    </w:rPr>
  </w:style>
  <w:style w:type="character" w:customStyle="1" w:styleId="2Char">
    <w:name w:val="标题 2 Char"/>
    <w:basedOn w:val="a0"/>
    <w:link w:val="2"/>
    <w:uiPriority w:val="9"/>
    <w:rsid w:val="00DB55A9"/>
    <w:rPr>
      <w:rFonts w:ascii="宋体" w:eastAsia="宋体" w:hAnsi="宋体" w:cs="宋体"/>
      <w:b/>
      <w:bCs/>
      <w:kern w:val="0"/>
      <w:sz w:val="36"/>
      <w:szCs w:val="36"/>
    </w:rPr>
  </w:style>
  <w:style w:type="paragraph" w:styleId="a3">
    <w:name w:val="Normal (Web)"/>
    <w:basedOn w:val="a"/>
    <w:uiPriority w:val="99"/>
    <w:unhideWhenUsed/>
    <w:rsid w:val="00DB55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5A9"/>
    <w:rPr>
      <w:b/>
      <w:bCs/>
    </w:rPr>
  </w:style>
  <w:style w:type="paragraph" w:styleId="a5">
    <w:name w:val="header"/>
    <w:basedOn w:val="a"/>
    <w:link w:val="Char"/>
    <w:uiPriority w:val="99"/>
    <w:semiHidden/>
    <w:unhideWhenUsed/>
    <w:rsid w:val="00A3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7AEC"/>
    <w:rPr>
      <w:sz w:val="18"/>
      <w:szCs w:val="18"/>
    </w:rPr>
  </w:style>
  <w:style w:type="paragraph" w:styleId="a6">
    <w:name w:val="footer"/>
    <w:basedOn w:val="a"/>
    <w:link w:val="Char0"/>
    <w:uiPriority w:val="99"/>
    <w:semiHidden/>
    <w:unhideWhenUsed/>
    <w:rsid w:val="00A37AE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7AEC"/>
    <w:rPr>
      <w:sz w:val="18"/>
      <w:szCs w:val="18"/>
    </w:rPr>
  </w:style>
  <w:style w:type="paragraph" w:styleId="a7">
    <w:name w:val="Balloon Text"/>
    <w:basedOn w:val="a"/>
    <w:link w:val="Char1"/>
    <w:uiPriority w:val="99"/>
    <w:semiHidden/>
    <w:unhideWhenUsed/>
    <w:rsid w:val="00A37AEC"/>
    <w:rPr>
      <w:sz w:val="18"/>
      <w:szCs w:val="18"/>
    </w:rPr>
  </w:style>
  <w:style w:type="character" w:customStyle="1" w:styleId="Char1">
    <w:name w:val="批注框文本 Char"/>
    <w:basedOn w:val="a0"/>
    <w:link w:val="a7"/>
    <w:uiPriority w:val="99"/>
    <w:semiHidden/>
    <w:rsid w:val="00A37AEC"/>
    <w:rPr>
      <w:sz w:val="18"/>
      <w:szCs w:val="18"/>
    </w:rPr>
  </w:style>
</w:styles>
</file>

<file path=word/webSettings.xml><?xml version="1.0" encoding="utf-8"?>
<w:webSettings xmlns:r="http://schemas.openxmlformats.org/officeDocument/2006/relationships" xmlns:w="http://schemas.openxmlformats.org/wordprocessingml/2006/main">
  <w:divs>
    <w:div w:id="1121798081">
      <w:bodyDiv w:val="1"/>
      <w:marLeft w:val="0"/>
      <w:marRight w:val="0"/>
      <w:marTop w:val="0"/>
      <w:marBottom w:val="0"/>
      <w:divBdr>
        <w:top w:val="none" w:sz="0" w:space="0" w:color="auto"/>
        <w:left w:val="none" w:sz="0" w:space="0" w:color="auto"/>
        <w:bottom w:val="none" w:sz="0" w:space="0" w:color="auto"/>
        <w:right w:val="none" w:sz="0" w:space="0" w:color="auto"/>
      </w:divBdr>
    </w:div>
    <w:div w:id="1887177850">
      <w:bodyDiv w:val="1"/>
      <w:marLeft w:val="0"/>
      <w:marRight w:val="0"/>
      <w:marTop w:val="0"/>
      <w:marBottom w:val="0"/>
      <w:divBdr>
        <w:top w:val="none" w:sz="0" w:space="0" w:color="auto"/>
        <w:left w:val="none" w:sz="0" w:space="0" w:color="auto"/>
        <w:bottom w:val="none" w:sz="0" w:space="0" w:color="auto"/>
        <w:right w:val="none" w:sz="0" w:space="0" w:color="auto"/>
      </w:divBdr>
    </w:div>
    <w:div w:id="1975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2020-05-25T01:14:00Z</dcterms:created>
  <dcterms:modified xsi:type="dcterms:W3CDTF">2020-05-25T01:36:00Z</dcterms:modified>
</cp:coreProperties>
</file>