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92" w:firstLineChars="200"/>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eastAsia="zh-CN"/>
        </w:rPr>
        <w:t>一</w:t>
      </w:r>
      <w:r>
        <w:rPr>
          <w:rFonts w:hint="eastAsia" w:ascii="黑体" w:hAnsi="黑体" w:eastAsia="黑体" w:cs="黑体"/>
          <w:sz w:val="32"/>
          <w:szCs w:val="32"/>
          <w:lang w:eastAsia="zh-CN"/>
        </w:rPr>
        <w:t>、过氧化值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过氧化值主要反映食品中油脂是否氧化变质。随着油脂氧化，过氧化值会逐步升高。</w:t>
      </w:r>
      <w:r>
        <w:rPr>
          <w:rFonts w:hint="eastAsia" w:ascii="仿宋" w:hAnsi="仿宋" w:eastAsia="仿宋" w:cs="仿宋"/>
          <w:kern w:val="0"/>
          <w:sz w:val="32"/>
          <w:szCs w:val="32"/>
          <w:lang w:eastAsia="zh-CN"/>
        </w:rPr>
        <w:t>食品</w:t>
      </w:r>
      <w:r>
        <w:rPr>
          <w:rFonts w:hint="eastAsia" w:ascii="仿宋" w:hAnsi="仿宋" w:eastAsia="仿宋" w:cs="仿宋"/>
          <w:kern w:val="0"/>
          <w:sz w:val="32"/>
          <w:szCs w:val="32"/>
        </w:rPr>
        <w:t>中过氧化值超标的原因，可能是</w:t>
      </w:r>
      <w:r>
        <w:rPr>
          <w:rFonts w:hint="eastAsia" w:ascii="仿宋" w:hAnsi="仿宋" w:eastAsia="仿宋" w:cs="仿宋"/>
          <w:sz w:val="32"/>
          <w:szCs w:val="32"/>
        </w:rPr>
        <w:t>产品在储</w:t>
      </w:r>
      <w:r>
        <w:rPr>
          <w:rFonts w:hint="eastAsia" w:ascii="仿宋" w:hAnsi="仿宋" w:eastAsia="仿宋" w:cs="仿宋"/>
          <w:sz w:val="32"/>
          <w:szCs w:val="32"/>
          <w:lang w:eastAsia="zh-CN"/>
        </w:rPr>
        <w:t>运</w:t>
      </w:r>
      <w:r>
        <w:rPr>
          <w:rFonts w:hint="eastAsia" w:ascii="仿宋" w:hAnsi="仿宋" w:eastAsia="仿宋" w:cs="仿宋"/>
          <w:sz w:val="32"/>
          <w:szCs w:val="32"/>
        </w:rPr>
        <w:t>过程中环境条件控制不当</w:t>
      </w:r>
      <w:r>
        <w:rPr>
          <w:rFonts w:hint="eastAsia" w:ascii="仿宋" w:hAnsi="仿宋" w:eastAsia="仿宋" w:cs="仿宋"/>
          <w:sz w:val="32"/>
          <w:szCs w:val="32"/>
          <w:lang w:eastAsia="zh-CN"/>
        </w:rPr>
        <w:t>，</w:t>
      </w:r>
      <w:r>
        <w:rPr>
          <w:rFonts w:hint="eastAsia" w:ascii="仿宋" w:hAnsi="仿宋" w:eastAsia="仿宋" w:cs="仿宋"/>
          <w:sz w:val="32"/>
          <w:szCs w:val="32"/>
        </w:rPr>
        <w:t>也可能是原料储存不当，未采取有效的抗氧化措施，导致原料中的脂肪氧化，使得终产品油脂氧化。</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酸价</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酸价主要反映食品中的油脂酸败程度。酸价超标会导致食品有哈喇味。酸价超标的原因，可能与企业原料采购把关不严、生产工艺不当、产品储藏条件不当等有关，特别是存贮温度较高时易导致食品中的脂肪氧化酸败致使酸价超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三、铝的残留量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黑体" w:hAnsi="黑体" w:eastAsia="黑体" w:cs="黑体"/>
          <w:sz w:val="32"/>
          <w:szCs w:val="32"/>
          <w:lang w:eastAsia="zh-CN"/>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cs="黑体"/>
          <w:sz w:val="32"/>
          <w:szCs w:val="32"/>
          <w:lang w:eastAsia="zh-CN"/>
        </w:rPr>
        <w:t>菌落总数</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592" w:firstLineChars="200"/>
        <w:textAlignment w:val="auto"/>
        <w:rPr>
          <w:rFonts w:ascii="黑体" w:hAnsi="黑体" w:eastAsia="黑体"/>
          <w:sz w:val="32"/>
          <w:szCs w:val="32"/>
        </w:rPr>
      </w:pPr>
      <w:r>
        <w:rPr>
          <w:rFonts w:hint="eastAsia" w:ascii="Times New Roman" w:hAnsi="黑体" w:eastAsia="黑体"/>
          <w:spacing w:val="-12"/>
          <w:sz w:val="32"/>
          <w:szCs w:val="32"/>
          <w:lang w:val="en-US" w:eastAsia="zh-CN"/>
        </w:rPr>
        <w:t>五</w:t>
      </w:r>
      <w:r>
        <w:rPr>
          <w:rFonts w:ascii="Times New Roman" w:hAnsi="黑体" w:eastAsia="黑体"/>
          <w:spacing w:val="-12"/>
          <w:sz w:val="32"/>
          <w:szCs w:val="32"/>
        </w:rPr>
        <w:t>、</w:t>
      </w:r>
      <w:r>
        <w:rPr>
          <w:rFonts w:hint="eastAsia" w:ascii="黑体" w:hAnsi="黑体" w:eastAsia="黑体"/>
          <w:sz w:val="32"/>
          <w:szCs w:val="32"/>
        </w:rPr>
        <w:t>腐霉利</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腐霉利是一种低毒内吸性杀菌剂，具有保护和治疗双重作用。腐霉利超标的主要原因可能是种植过程中为控制病虫害超量使用或不遵循安全间隔期规定。</w:t>
      </w:r>
    </w:p>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ascii="Times New Roman" w:hAnsi="Times New Roman" w:eastAsia="仿宋_GB2312"/>
          <w:kern w:val="2"/>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w:t>
      </w:r>
      <w:r>
        <w:rPr>
          <w:rFonts w:ascii="Times New Roman" w:hAnsi="黑体" w:eastAsia="黑体"/>
          <w:spacing w:val="-12"/>
          <w:sz w:val="32"/>
          <w:szCs w:val="32"/>
        </w:rPr>
        <w:t>呋喃</w:t>
      </w:r>
      <w:r>
        <w:rPr>
          <w:rFonts w:hint="eastAsia" w:ascii="Times New Roman" w:hAnsi="黑体" w:eastAsia="黑体"/>
          <w:spacing w:val="-12"/>
          <w:sz w:val="32"/>
          <w:szCs w:val="32"/>
          <w:lang w:eastAsia="zh-CN"/>
        </w:rPr>
        <w:t>西林</w:t>
      </w:r>
      <w:r>
        <w:rPr>
          <w:rFonts w:ascii="Times New Roman" w:hAnsi="黑体" w:eastAsia="黑体"/>
          <w:spacing w:val="-12"/>
          <w:sz w:val="32"/>
          <w:szCs w:val="32"/>
        </w:rPr>
        <w:t>代谢物</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是硝基呋喃类广谱抗生素，曾广泛应用于畜禽及水产养殖业。硝基呋喃类原型药在生物体内代谢迅速，其代谢物因与蛋白质结合而相当稳定，故常利用对其代谢物的检测来反</w:t>
      </w:r>
      <w:r>
        <w:rPr>
          <w:rFonts w:hint="eastAsia" w:ascii="Times New Roman" w:hAnsi="Times New Roman" w:eastAsia="仿宋_GB2312" w:cs="Times New Roman"/>
          <w:sz w:val="32"/>
          <w:szCs w:val="32"/>
        </w:rPr>
        <w:t>映</w:t>
      </w:r>
      <w:r>
        <w:rPr>
          <w:rFonts w:ascii="Times New Roman" w:hAnsi="Times New Roman" w:eastAsia="仿宋_GB2312" w:cs="Times New Roman"/>
          <w:sz w:val="32"/>
          <w:szCs w:val="32"/>
        </w:rPr>
        <w:t>硝基呋喃类药物的残留状况。《</w:t>
      </w:r>
      <w:r>
        <w:rPr>
          <w:rFonts w:hint="eastAsia" w:ascii="Times New Roman" w:hAnsi="Times New Roman" w:eastAsia="仿宋_GB2312" w:cs="Times New Roman"/>
          <w:sz w:val="32"/>
          <w:szCs w:val="32"/>
          <w:lang w:eastAsia="zh-CN"/>
        </w:rPr>
        <w:t>兽药</w:t>
      </w:r>
      <w:r>
        <w:rPr>
          <w:rFonts w:hint="eastAsia" w:ascii="Times New Roman" w:hAnsi="Times New Roman" w:eastAsia="仿宋_GB2312" w:cs="Times New Roman"/>
          <w:sz w:val="32"/>
          <w:szCs w:val="32"/>
          <w:lang w:val="en-US" w:eastAsia="zh-CN"/>
        </w:rPr>
        <w:t>地方标准废止目录</w:t>
      </w:r>
      <w:r>
        <w:rPr>
          <w:rFonts w:ascii="Times New Roman" w:hAnsi="Times New Roman" w:eastAsia="仿宋_GB2312" w:cs="Times New Roman"/>
          <w:sz w:val="32"/>
          <w:szCs w:val="32"/>
        </w:rPr>
        <w:t>》（农业部公告第</w:t>
      </w:r>
      <w:r>
        <w:rPr>
          <w:rFonts w:hint="eastAsia" w:ascii="Times New Roman" w:hAnsi="Times New Roman" w:eastAsia="仿宋_GB2312" w:cs="Times New Roman"/>
          <w:sz w:val="32"/>
          <w:szCs w:val="32"/>
          <w:lang w:val="en-US" w:eastAsia="zh-CN"/>
        </w:rPr>
        <w:t>560</w:t>
      </w:r>
      <w:r>
        <w:rPr>
          <w:rFonts w:ascii="Times New Roman" w:hAnsi="Times New Roman" w:eastAsia="仿宋_GB2312" w:cs="Times New Roman"/>
          <w:sz w:val="32"/>
          <w:szCs w:val="32"/>
        </w:rPr>
        <w:t>号）中规定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为禁止使用的药物，在动物性食品中不得检出。</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592" w:firstLineChars="200"/>
        <w:jc w:val="left"/>
        <w:textAlignment w:val="auto"/>
        <w:rPr>
          <w:rFonts w:ascii="黑体" w:hAnsi="黑体" w:eastAsia="黑体"/>
          <w:sz w:val="32"/>
          <w:szCs w:val="32"/>
        </w:rPr>
      </w:pPr>
      <w:r>
        <w:rPr>
          <w:rFonts w:hint="eastAsia" w:ascii="黑体" w:hAnsi="黑体" w:eastAsia="黑体"/>
          <w:spacing w:val="-12"/>
          <w:sz w:val="32"/>
          <w:szCs w:val="32"/>
          <w:lang w:val="en-US" w:eastAsia="zh-CN"/>
        </w:rPr>
        <w:t>七</w:t>
      </w:r>
      <w:r>
        <w:rPr>
          <w:rFonts w:hint="eastAsia" w:ascii="黑体" w:hAnsi="黑体" w:eastAsia="黑体"/>
          <w:spacing w:val="-12"/>
          <w:sz w:val="32"/>
          <w:szCs w:val="32"/>
        </w:rPr>
        <w:t>、</w:t>
      </w:r>
      <w:r>
        <w:rPr>
          <w:rFonts w:hint="eastAsia" w:ascii="黑体" w:hAnsi="黑体" w:eastAsia="黑体"/>
          <w:sz w:val="32"/>
          <w:szCs w:val="32"/>
        </w:rPr>
        <w:t>霉菌</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霉菌是常见的真菌，在自然界中广泛存在。受霉菌污染后会使产品腐败变质，破坏产品的色、香、味，降低其食用价值。霉菌超标</w:t>
      </w:r>
      <w:r>
        <w:rPr>
          <w:rFonts w:hint="eastAsia" w:ascii="Times New Roman" w:hAnsi="Times New Roman" w:eastAsia="仿宋_GB2312"/>
          <w:sz w:val="32"/>
          <w:szCs w:val="32"/>
        </w:rPr>
        <w:t>的</w:t>
      </w:r>
      <w:r>
        <w:rPr>
          <w:rFonts w:ascii="Times New Roman" w:hAnsi="Times New Roman" w:eastAsia="仿宋_GB2312"/>
          <w:sz w:val="32"/>
          <w:szCs w:val="32"/>
        </w:rPr>
        <w:t>原因，可能是原料或包装材料受到霉菌污染，产品在生产加工过程中卫生条件控制不到位</w:t>
      </w:r>
      <w:r>
        <w:rPr>
          <w:rFonts w:hint="eastAsia" w:ascii="Times New Roman" w:hAnsi="Times New Roman" w:eastAsia="仿宋_GB2312"/>
          <w:sz w:val="32"/>
          <w:szCs w:val="32"/>
        </w:rPr>
        <w:t>；</w:t>
      </w:r>
      <w:r>
        <w:rPr>
          <w:rFonts w:ascii="Times New Roman" w:hAnsi="Times New Roman" w:eastAsia="仿宋_GB2312"/>
          <w:sz w:val="32"/>
          <w:szCs w:val="32"/>
        </w:rPr>
        <w:t>还有可能</w:t>
      </w:r>
      <w:r>
        <w:rPr>
          <w:rFonts w:hint="eastAsia" w:ascii="Times New Roman" w:hAnsi="Times New Roman" w:eastAsia="仿宋_GB2312"/>
          <w:sz w:val="32"/>
          <w:szCs w:val="32"/>
        </w:rPr>
        <w:t>与</w:t>
      </w:r>
      <w:r>
        <w:rPr>
          <w:rFonts w:ascii="Times New Roman" w:hAnsi="Times New Roman" w:eastAsia="仿宋_GB2312"/>
          <w:sz w:val="32"/>
          <w:szCs w:val="32"/>
        </w:rPr>
        <w:t>生产工器具等设备设施清洗消毒不到位或产品储运条件不当</w:t>
      </w:r>
      <w:r>
        <w:rPr>
          <w:rFonts w:hint="eastAsia" w:ascii="Times New Roman" w:hAnsi="Times New Roman" w:eastAsia="仿宋_GB2312"/>
          <w:sz w:val="32"/>
          <w:szCs w:val="32"/>
        </w:rPr>
        <w:t>等有关</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ascii="黑体" w:hAnsi="黑体" w:eastAsia="黑体"/>
          <w:sz w:val="32"/>
          <w:szCs w:val="32"/>
        </w:rPr>
      </w:pPr>
      <w:bookmarkStart w:id="0" w:name="_Toc30283"/>
      <w:bookmarkStart w:id="1" w:name="_Toc14504"/>
      <w:r>
        <w:rPr>
          <w:rFonts w:hint="eastAsia" w:ascii="黑体" w:hAnsi="黑体" w:eastAsia="黑体"/>
          <w:sz w:val="32"/>
          <w:szCs w:val="32"/>
          <w:lang w:val="en-US" w:eastAsia="zh-CN"/>
        </w:rPr>
        <w:t>八</w:t>
      </w:r>
      <w:r>
        <w:rPr>
          <w:rFonts w:ascii="黑体" w:hAnsi="黑体" w:eastAsia="黑体"/>
          <w:sz w:val="32"/>
          <w:szCs w:val="32"/>
        </w:rPr>
        <w:t>、氧乐果</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lang w:eastAsia="zh-CN"/>
        </w:rPr>
      </w:pPr>
      <w:r>
        <w:rPr>
          <w:rFonts w:ascii="Times New Roman" w:hAnsi="Times New Roman" w:eastAsia="仿宋_GB2312"/>
          <w:sz w:val="32"/>
          <w:szCs w:val="32"/>
        </w:rPr>
        <w:t>氧乐果是一种有机磷杀虫、杀螨剂，其作用机制为抑制昆虫胆碱酯酶。</w:t>
      </w:r>
      <w:bookmarkEnd w:id="0"/>
      <w:bookmarkEnd w:id="1"/>
      <w:r>
        <w:rPr>
          <w:rFonts w:ascii="Times New Roman" w:hAnsi="Times New Roman" w:eastAsia="仿宋_GB2312"/>
          <w:sz w:val="32"/>
          <w:szCs w:val="32"/>
        </w:rPr>
        <w:t>氧乐果</w:t>
      </w:r>
      <w:r>
        <w:rPr>
          <w:rFonts w:hint="eastAsia" w:ascii="Times New Roman" w:hAnsi="Times New Roman" w:eastAsia="仿宋_GB2312"/>
          <w:sz w:val="32"/>
          <w:szCs w:val="32"/>
          <w:lang w:val="en-US" w:eastAsia="zh-CN"/>
        </w:rPr>
        <w:t>不合格的原因可能是</w:t>
      </w:r>
      <w:r>
        <w:rPr>
          <w:rFonts w:hint="eastAsia" w:ascii="Times New Roman" w:hAnsi="Times New Roman" w:eastAsia="仿宋_GB2312"/>
          <w:sz w:val="32"/>
          <w:szCs w:val="32"/>
        </w:rPr>
        <w:t>种植过程中为</w:t>
      </w:r>
      <w:r>
        <w:rPr>
          <w:rFonts w:hint="eastAsia" w:ascii="仿宋" w:hAnsi="仿宋" w:eastAsia="仿宋" w:cs="仿宋"/>
          <w:sz w:val="32"/>
          <w:szCs w:val="32"/>
        </w:rPr>
        <w:t>控制病虫害而违规使用</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92" w:firstLineChars="200"/>
        <w:jc w:val="left"/>
        <w:textAlignment w:val="auto"/>
        <w:rPr>
          <w:rFonts w:ascii="黑体" w:hAnsi="黑体" w:eastAsia="黑体"/>
          <w:sz w:val="32"/>
          <w:szCs w:val="32"/>
        </w:rPr>
      </w:pPr>
      <w:r>
        <w:rPr>
          <w:rFonts w:hint="eastAsia" w:ascii="Times New Roman" w:hAnsi="黑体" w:eastAsia="黑体"/>
          <w:spacing w:val="-12"/>
          <w:sz w:val="32"/>
          <w:szCs w:val="32"/>
          <w:lang w:val="en-US" w:eastAsia="zh-CN"/>
        </w:rPr>
        <w:t>九</w:t>
      </w:r>
      <w:r>
        <w:rPr>
          <w:rFonts w:hint="eastAsia" w:ascii="黑体" w:hAnsi="黑体" w:eastAsia="黑体"/>
          <w:sz w:val="32"/>
          <w:szCs w:val="32"/>
        </w:rPr>
        <w:t>、大肠菌群</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lang w:eastAsia="zh-CN"/>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lang w:eastAsia="zh-CN"/>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lang w:val="en-US" w:eastAsia="zh-CN"/>
        </w:rPr>
        <w:t>清洗、消毒不彻底，或存放过程中受到污染等</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snapToGrid/>
        <w:spacing w:beforeAutospacing="0" w:afterAutospacing="0" w:line="400" w:lineRule="exact"/>
        <w:ind w:firstLine="640" w:firstLineChars="200"/>
        <w:jc w:val="left"/>
        <w:textAlignment w:val="auto"/>
        <w:rPr>
          <w:rFonts w:ascii="Times New Roman" w:hAnsi="Times New Roman" w:eastAsia="仿宋_GB2312"/>
          <w:sz w:val="32"/>
          <w:szCs w:val="32"/>
        </w:rPr>
      </w:pPr>
      <w:r>
        <w:rPr>
          <w:rFonts w:hint="eastAsia" w:ascii="黑体" w:hAnsi="黑体" w:eastAsia="黑体"/>
          <w:sz w:val="32"/>
          <w:szCs w:val="32"/>
          <w:lang w:eastAsia="zh-CN"/>
        </w:rPr>
        <w:t>十</w:t>
      </w:r>
      <w:r>
        <w:rPr>
          <w:rFonts w:hint="eastAsia" w:ascii="黑体" w:hAnsi="黑体" w:eastAsia="黑体"/>
          <w:sz w:val="32"/>
          <w:szCs w:val="32"/>
        </w:rPr>
        <w:t>、诺氟沙星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诺氟沙星是氟喹诺酮类抗菌药，具有广谱抗菌作用，对革兰氏阳性菌、阴性菌均有较强的抗菌作用。诺氟沙星可通过抑制细菌DNA旋转酶，干扰细菌DNA的复制、转录和修复重组，致使细菌不能正常生长繁殖而死亡。蜂蜜中检出诺氟沙星的原因，可能是诺氟沙星作为蜂药被用于蜜蜂养殖。</w:t>
      </w:r>
    </w:p>
    <w:p>
      <w:pPr>
        <w:keepNext w:val="0"/>
        <w:keepLines w:val="0"/>
        <w:pageBreakBefore w:val="0"/>
        <w:kinsoku/>
        <w:wordWrap/>
        <w:overflowPunct/>
        <w:topLinePunct w:val="0"/>
        <w:autoSpaceDE/>
        <w:autoSpaceDN/>
        <w:bidi w:val="0"/>
        <w:snapToGrid/>
        <w:spacing w:beforeAutospacing="0" w:afterAutospacing="0" w:line="40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十一、维生素A</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维生素A是一种极其重要、极易缺乏的，维持人体正常代谢和机能所必需的脂溶性维生素。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婴幼儿谷类辅助食品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10769-2010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中规定，维生素A含量应在</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μgRE/100kJ～</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μgRE/100kJ范围内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维生素A不达标的原因，可能是生产企业未按照产品标签标示值添加该营养素，或者生产企业所使用的原料质量不达标。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jc w:val="left"/>
        <w:textAlignment w:val="auto"/>
        <w:rPr>
          <w:rFonts w:ascii="Times New Roman" w:hAnsi="Times New Roman" w:eastAsia="黑体"/>
          <w:spacing w:val="-12"/>
          <w:sz w:val="32"/>
          <w:szCs w:val="32"/>
        </w:rPr>
      </w:pPr>
      <w:r>
        <w:rPr>
          <w:rFonts w:hint="eastAsia" w:ascii="仿宋" w:hAnsi="仿宋" w:eastAsia="仿宋" w:cs="仿宋"/>
          <w:kern w:val="0"/>
          <w:sz w:val="32"/>
          <w:szCs w:val="32"/>
          <w:lang w:val="en-US" w:eastAsia="zh-CN"/>
        </w:rPr>
        <w:t xml:space="preserve"> </w:t>
      </w:r>
      <w:r>
        <w:rPr>
          <w:rFonts w:hint="eastAsia" w:ascii="Times New Roman" w:hAnsi="Times New Roman" w:eastAsia="黑体"/>
          <w:spacing w:val="-12"/>
          <w:sz w:val="32"/>
          <w:szCs w:val="32"/>
          <w:lang w:eastAsia="zh-CN"/>
        </w:rPr>
        <w:t>十二</w:t>
      </w:r>
      <w:r>
        <w:rPr>
          <w:rFonts w:hint="eastAsia" w:ascii="Times New Roman" w:hAnsi="Times New Roman" w:eastAsia="黑体"/>
          <w:spacing w:val="-12"/>
          <w:sz w:val="32"/>
          <w:szCs w:val="32"/>
        </w:rPr>
        <w:t>、</w:t>
      </w:r>
      <w:r>
        <w:rPr>
          <w:rFonts w:hint="eastAsia" w:ascii="黑体" w:hAnsi="黑体" w:eastAsia="黑体"/>
          <w:spacing w:val="-12"/>
          <w:sz w:val="32"/>
          <w:szCs w:val="32"/>
        </w:rPr>
        <w:t>氨基酸态氮</w:t>
      </w:r>
    </w:p>
    <w:p>
      <w:pPr>
        <w:pStyle w:val="6"/>
        <w:keepNext w:val="0"/>
        <w:keepLines w:val="0"/>
        <w:pageBreakBefore w:val="0"/>
        <w:widowControl/>
        <w:kinsoku/>
        <w:wordWrap/>
        <w:overflowPunct/>
        <w:topLinePunct w:val="0"/>
        <w:autoSpaceDE/>
        <w:autoSpaceDN/>
        <w:bidi w:val="0"/>
        <w:adjustRightInd w:val="0"/>
        <w:snapToGrid/>
        <w:spacing w:before="0" w:beforeAutospacing="0" w:after="0" w:afterAutospacing="0" w:line="4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氨基酸态氮是酱油的特征性品质指标之一。</w:t>
      </w:r>
      <w:r>
        <w:rPr>
          <w:rFonts w:hint="eastAsia" w:ascii="Times New Roman" w:hAnsi="Times New Roman" w:eastAsia="仿宋_GB2312"/>
          <w:sz w:val="32"/>
          <w:szCs w:val="32"/>
          <w:lang w:eastAsia="zh-CN"/>
        </w:rPr>
        <w:t>该指标不达标的</w:t>
      </w:r>
      <w:r>
        <w:rPr>
          <w:rFonts w:ascii="Times New Roman" w:hAnsi="Times New Roman" w:eastAsia="仿宋_GB2312"/>
          <w:kern w:val="2"/>
          <w:sz w:val="32"/>
          <w:szCs w:val="32"/>
        </w:rPr>
        <w:t>原因可能是产品生产工艺不符合标准要求，未达到要求发酵的时间</w:t>
      </w:r>
      <w:r>
        <w:rPr>
          <w:rFonts w:hint="eastAsia" w:ascii="Times New Roman" w:hAnsi="Times New Roman" w:eastAsia="仿宋_GB2312"/>
          <w:kern w:val="2"/>
          <w:sz w:val="32"/>
          <w:szCs w:val="32"/>
        </w:rPr>
        <w:t>；或者是</w:t>
      </w:r>
      <w:r>
        <w:rPr>
          <w:rFonts w:ascii="Times New Roman" w:hAnsi="Times New Roman" w:eastAsia="仿宋_GB2312"/>
          <w:kern w:val="2"/>
          <w:sz w:val="32"/>
          <w:szCs w:val="32"/>
        </w:rPr>
        <w:t>产品配方缺陷</w:t>
      </w:r>
      <w:r>
        <w:rPr>
          <w:rFonts w:hint="eastAsia" w:ascii="Times New Roman" w:hAnsi="Times New Roman" w:eastAsia="仿宋_GB2312"/>
          <w:kern w:val="2"/>
          <w:sz w:val="32"/>
          <w:szCs w:val="32"/>
        </w:rPr>
        <w:t>的问题</w:t>
      </w:r>
      <w:r>
        <w:rPr>
          <w:rFonts w:ascii="Times New Roman" w:hAnsi="Times New Roman" w:eastAsia="仿宋_GB2312"/>
          <w:kern w:val="2"/>
          <w:sz w:val="32"/>
          <w:szCs w:val="32"/>
        </w:rPr>
        <w:t>；也可能是酿造酱油产品本身等级较低，企业为增加销量违规标注高等级</w:t>
      </w:r>
      <w:r>
        <w:rPr>
          <w:rFonts w:hint="eastAsia" w:ascii="Times New Roman" w:hAnsi="Times New Roman" w:eastAsia="仿宋_GB2312"/>
          <w:kern w:val="2"/>
          <w:sz w:val="32"/>
          <w:szCs w:val="32"/>
        </w:rPr>
        <w:t>的问题</w:t>
      </w:r>
      <w:r>
        <w:rPr>
          <w:rFonts w:ascii="Times New Roman" w:hAnsi="Times New Roman" w:eastAsia="仿宋_GB2312"/>
          <w:kern w:val="2"/>
          <w:sz w:val="32"/>
          <w:szCs w:val="32"/>
        </w:rPr>
        <w:t>。</w:t>
      </w:r>
      <w:r>
        <w:rPr>
          <w:rFonts w:ascii="Times New Roman" w:hAnsi="Times New Roman" w:eastAsia="仿宋_GB2312"/>
          <w:sz w:val="32"/>
          <w:szCs w:val="32"/>
        </w:rPr>
        <w:t>氨基酸态氮不合格，主要会影响酱油产品的风味。</w:t>
      </w:r>
    </w:p>
    <w:p>
      <w:pPr>
        <w:pStyle w:val="6"/>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400" w:lineRule="exact"/>
        <w:ind w:firstLine="640" w:firstLineChars="200"/>
        <w:jc w:val="both"/>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十三、铵盐</w:t>
      </w:r>
    </w:p>
    <w:p>
      <w:pPr>
        <w:pStyle w:val="6"/>
        <w:keepNext w:val="0"/>
        <w:keepLines w:val="0"/>
        <w:pageBreakBefore w:val="0"/>
        <w:widowControl/>
        <w:kinsoku/>
        <w:wordWrap/>
        <w:overflowPunct/>
        <w:topLinePunct w:val="0"/>
        <w:autoSpaceDE/>
        <w:autoSpaceDN/>
        <w:bidi w:val="0"/>
        <w:adjustRightInd w:val="0"/>
        <w:snapToGrid/>
        <w:spacing w:before="0" w:beforeAutospacing="0" w:after="0" w:afterAutospacing="0" w:line="400" w:lineRule="exact"/>
        <w:ind w:firstLine="640" w:firstLineChars="200"/>
        <w:jc w:val="both"/>
        <w:textAlignment w:val="auto"/>
        <w:rPr>
          <w:rFonts w:hint="eastAsia" w:ascii="Times New Roman" w:hAnsi="Times New Roman" w:eastAsia="仿宋_GB2312"/>
          <w:kern w:val="2"/>
          <w:sz w:val="32"/>
          <w:szCs w:val="32"/>
          <w:lang w:eastAsia="zh-CN"/>
        </w:rPr>
      </w:pPr>
      <w:r>
        <w:rPr>
          <w:rFonts w:hint="eastAsia" w:ascii="Times New Roman" w:hAnsi="Times New Roman" w:eastAsia="仿宋_GB2312"/>
          <w:kern w:val="2"/>
          <w:sz w:val="32"/>
          <w:szCs w:val="32"/>
        </w:rPr>
        <w:t>铵盐超标与氨基酸态氮紧密相关，氨基酸态氮是衡量酱油品质及鲜味的重要指标，</w:t>
      </w:r>
      <w:r>
        <w:rPr>
          <w:rFonts w:ascii="Times New Roman" w:hAnsi="Times New Roman" w:eastAsia="仿宋_GB2312"/>
          <w:kern w:val="2"/>
          <w:sz w:val="32"/>
          <w:szCs w:val="32"/>
        </w:rPr>
        <w:t>铵盐含量不合格，可能</w:t>
      </w:r>
      <w:r>
        <w:rPr>
          <w:rFonts w:hint="eastAsia" w:ascii="Times New Roman" w:hAnsi="Times New Roman" w:eastAsia="仿宋_GB2312"/>
          <w:kern w:val="2"/>
          <w:sz w:val="32"/>
          <w:szCs w:val="32"/>
          <w:lang w:eastAsia="zh-CN"/>
        </w:rPr>
        <w:t>是</w:t>
      </w:r>
      <w:r>
        <w:rPr>
          <w:rFonts w:ascii="Times New Roman" w:hAnsi="Times New Roman" w:eastAsia="仿宋_GB2312"/>
          <w:kern w:val="2"/>
          <w:sz w:val="32"/>
          <w:szCs w:val="32"/>
        </w:rPr>
        <w:t>酱油生产工艺过程中过度发酵、发酵条件失当或菌种不纯</w:t>
      </w:r>
      <w:r>
        <w:rPr>
          <w:rFonts w:hint="eastAsia" w:ascii="Times New Roman" w:hAnsi="Times New Roman" w:eastAsia="仿宋_GB2312"/>
          <w:kern w:val="2"/>
          <w:sz w:val="32"/>
          <w:szCs w:val="32"/>
          <w:lang w:eastAsia="zh-CN"/>
        </w:rPr>
        <w:t>。</w:t>
      </w:r>
    </w:p>
    <w:p>
      <w:pPr>
        <w:keepNext w:val="0"/>
        <w:keepLines w:val="0"/>
        <w:pageBreakBefore w:val="0"/>
        <w:kinsoku/>
        <w:wordWrap/>
        <w:overflowPunct/>
        <w:topLinePunct w:val="0"/>
        <w:autoSpaceDE/>
        <w:autoSpaceDN/>
        <w:bidi w:val="0"/>
        <w:snapToGrid/>
        <w:spacing w:beforeAutospacing="0" w:afterAutospacing="0" w:line="4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十四</w:t>
      </w:r>
      <w:r>
        <w:rPr>
          <w:rFonts w:ascii="Times New Roman" w:hAnsi="Times New Roman" w:eastAsia="黑体"/>
          <w:sz w:val="32"/>
          <w:szCs w:val="32"/>
        </w:rPr>
        <w:t>、恩诺沙星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恩诺沙星属于氟喹诺酮类药物，是一类人工合成的广谱抗菌药，用</w:t>
      </w:r>
      <w:r>
        <w:rPr>
          <w:rFonts w:hint="eastAsia" w:ascii="Times New Roman" w:hAnsi="Times New Roman" w:eastAsia="仿宋_GB2312"/>
          <w:sz w:val="32"/>
          <w:szCs w:val="32"/>
          <w:lang w:eastAsia="zh-CN"/>
        </w:rPr>
        <w:t>以</w:t>
      </w:r>
      <w:r>
        <w:rPr>
          <w:rFonts w:ascii="Times New Roman" w:hAnsi="Times New Roman" w:eastAsia="仿宋_GB2312"/>
          <w:sz w:val="32"/>
          <w:szCs w:val="32"/>
        </w:rPr>
        <w:t>治疗动物的皮肤感染、呼吸道感染等，可用于牛、羊、猪、兔、禽等食用畜禽及其他动物。恩诺沙星</w:t>
      </w:r>
      <w:r>
        <w:rPr>
          <w:rFonts w:hint="eastAsia" w:ascii="仿宋" w:hAnsi="仿宋" w:eastAsia="仿宋" w:cs="仿宋"/>
          <w:color w:val="auto"/>
          <w:sz w:val="32"/>
          <w:szCs w:val="32"/>
          <w:highlight w:val="none"/>
        </w:rPr>
        <w:t>超标的主要原因可能是</w:t>
      </w:r>
      <w:r>
        <w:rPr>
          <w:rFonts w:hint="eastAsia" w:ascii="仿宋" w:hAnsi="仿宋" w:eastAsia="仿宋" w:cs="仿宋"/>
          <w:color w:val="auto"/>
          <w:sz w:val="32"/>
          <w:szCs w:val="32"/>
          <w:highlight w:val="none"/>
          <w:lang w:eastAsia="zh-CN"/>
        </w:rPr>
        <w:t>水产养殖过程中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rPr>
        <w:t>超量使用或不遵循休药期规定。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640" w:firstLineChars="200"/>
        <w:textAlignment w:val="auto"/>
        <w:rPr>
          <w:rFonts w:hint="eastAsia" w:ascii="黑体" w:hAnsi="黑体" w:eastAsia="黑体" w:cs="黑体"/>
          <w:color w:val="auto"/>
          <w:sz w:val="32"/>
          <w:szCs w:val="32"/>
          <w:lang w:val="en-US" w:eastAsia="zh-CN"/>
        </w:rPr>
      </w:pPr>
      <w:r>
        <w:rPr>
          <w:rFonts w:hint="eastAsia" w:ascii="Times New Roman" w:hAnsi="Times New Roman" w:eastAsia="黑体" w:cs="Times New Roman"/>
          <w:kern w:val="2"/>
          <w:sz w:val="32"/>
          <w:szCs w:val="32"/>
          <w:lang w:val="en-US" w:eastAsia="zh-CN" w:bidi="ar-SA"/>
        </w:rPr>
        <w:t>十五、</w:t>
      </w:r>
      <w:r>
        <w:rPr>
          <w:rFonts w:hint="eastAsia" w:ascii="黑体" w:hAnsi="黑体" w:eastAsia="黑体" w:cs="黑体"/>
          <w:color w:val="auto"/>
          <w:sz w:val="32"/>
          <w:szCs w:val="32"/>
          <w:lang w:val="en-US" w:eastAsia="zh-CN"/>
        </w:rPr>
        <w:t>黄曲霉毒素B</w:t>
      </w:r>
      <w:r>
        <w:rPr>
          <w:rFonts w:hint="eastAsia" w:ascii="黑体" w:hAnsi="黑体" w:eastAsia="黑体" w:cs="黑体"/>
          <w:sz w:val="32"/>
          <w:szCs w:val="32"/>
          <w:vertAlign w:val="subscript"/>
          <w:lang w:val="en-US" w:eastAsia="zh-CN"/>
        </w:rPr>
        <w:t>1</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640" w:firstLineChars="200"/>
        <w:textAlignment w:val="auto"/>
        <w:outlineLvl w:val="9"/>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是一种强致癌性的真菌毒素。《食品安全国家标准 食品中真菌毒素限量》（GB 2761-2017）中规定，黄曲霉毒素B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在花生及其制品中的最大限量值为20μg/kg。黄曲霉毒素B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是黄曲霉、寄生曲霉等产生的代谢产物。当花生未能及时晒干及储藏不当时，往往容易被黄曲霉或寄生曲霉污染而导致黄曲霉毒素B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超标。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十六</w:t>
      </w:r>
      <w:bookmarkStart w:id="2" w:name="_GoBack"/>
      <w:bookmarkEnd w:id="2"/>
      <w:r>
        <w:rPr>
          <w:rFonts w:hint="eastAsia" w:ascii="黑体" w:hAnsi="黑体" w:eastAsia="黑体" w:cs="黑体"/>
          <w:sz w:val="32"/>
          <w:szCs w:val="32"/>
          <w:lang w:eastAsia="zh-CN"/>
        </w:rPr>
        <w:t>、磺胺类（总量）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磺胺类药物是一种人工合成的抗菌谱较广、性质稳定、使用简便的抗菌药，对大多数革兰氏阳性菌和阴性菌都有较强抑制作用。</w:t>
      </w:r>
      <w:r>
        <w:rPr>
          <w:rFonts w:hint="eastAsia" w:ascii="仿宋" w:hAnsi="仿宋" w:eastAsia="仿宋" w:cs="仿宋"/>
          <w:color w:val="auto"/>
          <w:sz w:val="32"/>
          <w:szCs w:val="32"/>
          <w:highlight w:val="none"/>
        </w:rPr>
        <w:t>磺胺类（总量）超标的主要原因可能是</w:t>
      </w:r>
      <w:r>
        <w:rPr>
          <w:rFonts w:hint="eastAsia" w:ascii="仿宋" w:hAnsi="仿宋" w:eastAsia="仿宋" w:cs="仿宋"/>
          <w:color w:val="auto"/>
          <w:sz w:val="32"/>
          <w:szCs w:val="32"/>
          <w:highlight w:val="none"/>
          <w:lang w:eastAsia="zh-CN"/>
        </w:rPr>
        <w:t>畜牧养殖过程中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rPr>
        <w:t>超量使用或不遵循休药期规定。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rPr>
          <w:rFonts w:hint="eastAsia" w:ascii="仿宋" w:hAnsi="仿宋" w:eastAsia="仿宋" w:cs="仿宋"/>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Arial" w:hAnsi="Arial" w:cs="Arial"/>
          <w:b w:val="0"/>
          <w:i w:val="0"/>
          <w:caps w:val="0"/>
          <w:color w:val="191919"/>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BB27A"/>
    <w:multiLevelType w:val="singleLevel"/>
    <w:tmpl w:val="319BB2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20145AD"/>
    <w:rsid w:val="02461A32"/>
    <w:rsid w:val="049C10E0"/>
    <w:rsid w:val="091E1E8C"/>
    <w:rsid w:val="096176A1"/>
    <w:rsid w:val="098C4AD6"/>
    <w:rsid w:val="09AD3D2D"/>
    <w:rsid w:val="0A8A135D"/>
    <w:rsid w:val="0AAB3302"/>
    <w:rsid w:val="0C1A7DE6"/>
    <w:rsid w:val="0C6647C1"/>
    <w:rsid w:val="0D080EEF"/>
    <w:rsid w:val="0DCD408C"/>
    <w:rsid w:val="1067456A"/>
    <w:rsid w:val="109C1D15"/>
    <w:rsid w:val="10AE03F8"/>
    <w:rsid w:val="11540BC8"/>
    <w:rsid w:val="14DD132B"/>
    <w:rsid w:val="15D35D91"/>
    <w:rsid w:val="16293424"/>
    <w:rsid w:val="16A5094C"/>
    <w:rsid w:val="16F16139"/>
    <w:rsid w:val="174F26D8"/>
    <w:rsid w:val="17844181"/>
    <w:rsid w:val="17D16A01"/>
    <w:rsid w:val="1A4D3850"/>
    <w:rsid w:val="1AAE282B"/>
    <w:rsid w:val="1DC60705"/>
    <w:rsid w:val="1DCA15E8"/>
    <w:rsid w:val="1E653698"/>
    <w:rsid w:val="21267DEF"/>
    <w:rsid w:val="214E7B36"/>
    <w:rsid w:val="241F67F7"/>
    <w:rsid w:val="24DF7C17"/>
    <w:rsid w:val="27441CC2"/>
    <w:rsid w:val="27DE4DFA"/>
    <w:rsid w:val="29527064"/>
    <w:rsid w:val="29CB062A"/>
    <w:rsid w:val="2B23001F"/>
    <w:rsid w:val="2D873E73"/>
    <w:rsid w:val="2DC9409F"/>
    <w:rsid w:val="2E047006"/>
    <w:rsid w:val="2E375ACA"/>
    <w:rsid w:val="2EF84E53"/>
    <w:rsid w:val="30B03B2F"/>
    <w:rsid w:val="311B2AB5"/>
    <w:rsid w:val="32CB30AC"/>
    <w:rsid w:val="37184F83"/>
    <w:rsid w:val="3ABC1FE1"/>
    <w:rsid w:val="3B551BC6"/>
    <w:rsid w:val="3DBA5BE8"/>
    <w:rsid w:val="3E0B4B63"/>
    <w:rsid w:val="3EA42C16"/>
    <w:rsid w:val="3F665B6E"/>
    <w:rsid w:val="3FF47B42"/>
    <w:rsid w:val="41036A61"/>
    <w:rsid w:val="41E80A47"/>
    <w:rsid w:val="426A6186"/>
    <w:rsid w:val="43CF2673"/>
    <w:rsid w:val="444C3A23"/>
    <w:rsid w:val="456D64FF"/>
    <w:rsid w:val="45801D20"/>
    <w:rsid w:val="47476A52"/>
    <w:rsid w:val="48117E1B"/>
    <w:rsid w:val="492B5D59"/>
    <w:rsid w:val="4AF06F11"/>
    <w:rsid w:val="4B2702ED"/>
    <w:rsid w:val="4C403DD2"/>
    <w:rsid w:val="4EE22277"/>
    <w:rsid w:val="4F080B75"/>
    <w:rsid w:val="4F2C65C3"/>
    <w:rsid w:val="5017563D"/>
    <w:rsid w:val="513F6002"/>
    <w:rsid w:val="52B72972"/>
    <w:rsid w:val="53AB3FB6"/>
    <w:rsid w:val="54662E91"/>
    <w:rsid w:val="54A413F4"/>
    <w:rsid w:val="54DA4CA8"/>
    <w:rsid w:val="55D67DAA"/>
    <w:rsid w:val="560E5994"/>
    <w:rsid w:val="56666818"/>
    <w:rsid w:val="56A54DF2"/>
    <w:rsid w:val="58BA776A"/>
    <w:rsid w:val="598A34A9"/>
    <w:rsid w:val="5A515E52"/>
    <w:rsid w:val="5BAE373B"/>
    <w:rsid w:val="5BC33DA8"/>
    <w:rsid w:val="5C4821F4"/>
    <w:rsid w:val="5DAD2E62"/>
    <w:rsid w:val="60A26DA1"/>
    <w:rsid w:val="61117A29"/>
    <w:rsid w:val="612175D9"/>
    <w:rsid w:val="61DB1E35"/>
    <w:rsid w:val="61EE24B5"/>
    <w:rsid w:val="645F28A9"/>
    <w:rsid w:val="65031979"/>
    <w:rsid w:val="656B0542"/>
    <w:rsid w:val="662B3639"/>
    <w:rsid w:val="664F1417"/>
    <w:rsid w:val="66B21B51"/>
    <w:rsid w:val="67F7297A"/>
    <w:rsid w:val="697C5C95"/>
    <w:rsid w:val="6B5457C1"/>
    <w:rsid w:val="6EF70921"/>
    <w:rsid w:val="72F102A1"/>
    <w:rsid w:val="73832442"/>
    <w:rsid w:val="74895696"/>
    <w:rsid w:val="75EA0C47"/>
    <w:rsid w:val="77F013EB"/>
    <w:rsid w:val="78676F6E"/>
    <w:rsid w:val="79D028D0"/>
    <w:rsid w:val="7A6E225E"/>
    <w:rsid w:val="7AFB4DF9"/>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cp:lastPrinted>2019-12-25T06:39:00Z</cp:lastPrinted>
  <dcterms:modified xsi:type="dcterms:W3CDTF">2020-04-03T03:23:51Z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