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18" w:lineRule="atLeast"/>
        <w:ind w:left="0" w:right="0" w:firstLine="0"/>
        <w:rPr>
          <w:rFonts w:ascii="Arial" w:hAnsi="Arial" w:cs="Arial"/>
          <w:i w:val="0"/>
          <w:caps w:val="0"/>
          <w:color w:val="0000FF"/>
          <w:spacing w:val="0"/>
          <w:sz w:val="27"/>
          <w:szCs w:val="27"/>
          <w:u w:val="none"/>
        </w:rPr>
      </w:pPr>
      <w:r>
        <w:rPr>
          <w:rFonts w:hint="eastAsia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  <w:lang w:eastAsia="zh-CN"/>
        </w:rPr>
        <w:t>日本岛津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"http://www.baidu.com/link?url=OaittvtGtdF02L7imruVzFxLCYphz9qrN2N_F8ewYZv_LHk8SRWdsSxzRGBcQHmHoYvpZPZZVFI9CkPvg3Jw6_" \t "https://www.baidu.com/_blank" </w:instrText>
      </w:r>
      <w:r>
        <w:rPr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t>SP208</w:t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t>-1000 DualⅡ</w:t>
      </w:r>
      <w:r>
        <w:rPr>
          <w:rStyle w:val="4"/>
          <w:rFonts w:hint="eastAsia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  <w:lang w:eastAsia="zh-CN"/>
        </w:rPr>
        <w:t>高精度双路</w:t>
      </w:r>
      <w:r>
        <w:rPr>
          <w:rStyle w:val="4"/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t>恒流采样泵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34840" cy="367855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提供稳定的采样速率：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SP208系列采样泵能提供稳定的采样流速；24小时连续采样，采样速率波动小于5%；例：SP208-1000Dual II采样速率在量程范围内，1小时内连续波动基本可控制在小于2%，基本达1%以内。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可应对高阻尼采样：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串联两根DNPH小柱，或高阻尼的Tanex管，SP208-1000Dual II也能轻松的达到最大的速率，即1000ml/min。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阻尼反馈调节机制：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SP208系列采样泵具有阻尼反馈调节机制；在运行过程中，采样泵能根据采样管的阻力自动调节泵的工作状态，使采样速率保持在设定值，整个过程，无需人为调节。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质量流量计测定速率：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SP208系列采样泵内置质量流量计，所有测定值是换算成20°C，1个大气压下数值。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仪器特点：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双通道采样：SP208系列采样泵配置了双泵，可同时进行双路采样，如SP208-1000Dual II能同时对应捕集甲醛和VOCs的2钟阻尼值截然不同的捕集管。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多种开始采样和停止采样模式：编辑按钮（EDIT）可设定采样开始条件，定时运行采样、延迟设定时间采样、手动按键采样等模式；也可设定累计体积停止模式采样和时间停止模式采样。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可调节角度的提手：提手两边的按钮进行提手解锁，可将提手转到合适的位置，如将提手与仪器成直线时，可直接提起便携搬运仪器；如提手向下旋转，就可以实现倾斜放置，方便工作人员操作。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调整泵脉冲创造吸引条件：根据样品捕集容器的阻尼，可调整泵的工作频率，创造好的吸引条件；3色的LED灯显示工作脉冲状态（红*绿*橙对应High*Good*Low）。显示脉冲为High或Low时，可进行手动调节，将脉冲调整至Good，使泵处于好的工作频率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可选手动和文件操作模式：可将设定的采样开始模式、完成采样模式、采样流量大小等采样要求保存成一个文件；仪器最多存储五个文件，需要使用时可直接调出来运行即可。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操作简单、界面易懂：按键命令一目了然，无需太多的专业知识即可操作，内置校准命令程序，使用人员可轻易校准流量，确保采样泵高精度采样。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带过滤保护装置：吸气端带有20um的过滤器，防止飞尘进入质量流量计造成损坏，大大的延长仪器寿命。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完善的辅助配件：RS232C接口直接与日本高精度精密膜流量计实现自动校正功能；OPTION接口可与温度传感器和湿度传感器连接；也可配置便携锂电池和辅助采样配件方便采样。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技术参数：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SP208-100Dual II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SP208-1000Dual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流速范围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10-100ml/min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10-1000ml/min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采样体积范围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0.01-9999.99L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显示器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带背景灯的液晶显示屏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保存文件数目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5个文件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日志数据记录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可记录30个日志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流速波动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24小时连续运作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±</w:t>
            </w:r>
            <w:r>
              <w:rPr>
                <w:rFonts w:hint="eastAsia"/>
                <w:vertAlign w:val="baseline"/>
                <w:lang w:val="en-US" w:eastAsia="zh-CN"/>
              </w:rPr>
              <w:t>5%以内（条件：20°C恒温）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流速测定精度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小于3%，使用固定流速可调至1%以内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脉冲表示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LED三色分别显示（</w:t>
            </w:r>
            <w:r>
              <w:rPr>
                <w:rFonts w:hint="eastAsia"/>
                <w:lang w:val="en-US" w:eastAsia="zh-CN"/>
              </w:rPr>
              <w:t>High*Good*Low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使用温度湿度范围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10-35°C，20-80%（但注意不要结露）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电源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DC12VAC电源转换器，220V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275*250*100mm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重量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3.5kg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45CF2"/>
    <w:multiLevelType w:val="singleLevel"/>
    <w:tmpl w:val="A4645C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29D3"/>
    <w:rsid w:val="09B94444"/>
    <w:rsid w:val="3D72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2019-01-22T05:57:00Z</dcterms:created>
  <dc:creator>路博赵丽15589812373</dc:creator>
  <cp:lastModifiedBy>路博赵丽15589812373</cp:lastModifiedBy>
  <dcterms:modified xsi:type="dcterms:W3CDTF">2019-01-22T06:42:22Z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