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1.产品介绍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我司设计的氧气变送器，采用进口一线大品牌电化学氧气传感器，具有反应迅速灵敏、抗干扰能力强的特点，经过我司独有的补偿算法、多段标准气体标定，亦具有长寿命、高精度、高重复性和高稳定性的特点。适用于仓库、车间、化工厂、大棚养殖场、密闭生活场所等需要实时监测氧气浓度的场合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设备采用宽压10-30V直流供电，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信号输出，标准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通信协议、</w:t>
      </w:r>
      <w:r>
        <w:rPr>
          <w:rFonts w:hint="default" w:ascii="Times New Roman" w:hAnsi="Times New Roman" w:eastAsia="宋体" w:cs="Times New Roman"/>
          <w:sz w:val="21"/>
          <w:szCs w:val="21"/>
        </w:rPr>
        <w:t>ModBus</w:t>
      </w:r>
      <w:r>
        <w:rPr>
          <w:rFonts w:hint="eastAsia" w:ascii="宋体" w:hAnsi="宋体" w:eastAsia="宋体" w:cs="宋体"/>
          <w:sz w:val="21"/>
          <w:szCs w:val="21"/>
        </w:rPr>
        <w:t>地址可设置，波特率可更改，通信距离最远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2" name="图片 1" descr="QQ截图20200413113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截图2020041311350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■采用进口一线大品牌电化学传感器，稳定耐用。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■量程0-25%VOL,其他量程亦可定做。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■测量精度高，可达±</w:t>
      </w:r>
      <w:r>
        <w:rPr>
          <w:rFonts w:hint="default" w:ascii="Times New Roman" w:hAnsi="Times New Roman" w:eastAsia="宋体" w:cs="Times New Roman"/>
          <w:sz w:val="21"/>
          <w:szCs w:val="21"/>
        </w:rPr>
        <w:t>3%FS</w:t>
      </w:r>
      <w:r>
        <w:rPr>
          <w:rFonts w:hint="eastAsia" w:ascii="宋体" w:hAnsi="宋体" w:eastAsia="宋体" w:cs="宋体"/>
          <w:sz w:val="21"/>
          <w:szCs w:val="21"/>
        </w:rPr>
        <w:t>以内,重复性可达1%以内。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通信接口标准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通信协议，地址、波特率可设置，通信距离最远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■可选配高品质OLED显示屏，现场可直接查看数值，夜晚亦可清晰显示。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■现场供电采用10~30V直流宽压供电，可适应现场多种直流电源。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■产品采用壁挂式防水壳，安装方便，防护等级高可应用于恶劣的现场环境。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1" name="图片 2" descr="QQ截图20200413113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0041311353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3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主要技术指标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8"/>
        <w:gridCol w:w="42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供电电源</w:t>
            </w:r>
          </w:p>
        </w:tc>
        <w:tc>
          <w:tcPr>
            <w:tcW w:w="4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0.12W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~+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-20~50℃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5~95%RH 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压力范围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90~110Kpa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5%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信号值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响应时间：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7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零点漂移（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℃）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0.3%V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ol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使用寿命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%V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ol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3%FS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0.1%VOL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以上所有规格参数均在环境条件：温度</w:t>
      </w:r>
      <w:r>
        <w:rPr>
          <w:rFonts w:hint="default" w:ascii="Times New Roman" w:hAnsi="Times New Roman" w:cs="Times New Roman"/>
          <w:sz w:val="21"/>
          <w:szCs w:val="21"/>
        </w:rPr>
        <w:t>20℃</w:t>
      </w:r>
      <w:r>
        <w:rPr>
          <w:rFonts w:hint="eastAsia" w:ascii="宋体" w:hAnsi="宋体" w:eastAsia="宋体" w:cs="宋体"/>
          <w:sz w:val="21"/>
          <w:szCs w:val="21"/>
        </w:rPr>
        <w:t>、相对湿度</w:t>
      </w:r>
      <w:r>
        <w:rPr>
          <w:rFonts w:hint="default" w:ascii="Times New Roman" w:hAnsi="Times New Roman" w:cs="Times New Roman"/>
          <w:sz w:val="21"/>
          <w:szCs w:val="21"/>
        </w:rPr>
        <w:t>50%RH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个大气压，待测气体浓度最大不超过传感器量程的环境下测得。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05475" cy="5715000"/>
            <wp:effectExtent l="0" t="0" r="9525" b="0"/>
            <wp:docPr id="4" name="图片 3" descr="QQ截图20200413113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QQ截图2020041311360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4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氧气变送器选型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1018"/>
        <w:gridCol w:w="1109"/>
        <w:gridCol w:w="1296"/>
        <w:gridCol w:w="1282"/>
        <w:gridCol w:w="28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RS</w:t>
            </w:r>
          </w:p>
        </w:tc>
        <w:tc>
          <w:tcPr>
            <w:tcW w:w="47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O2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氧气变送器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N01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OLED-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OLED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VOL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%V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ol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氧气温湿度三合一变送器选型：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1362"/>
        <w:gridCol w:w="1109"/>
        <w:gridCol w:w="882"/>
        <w:gridCol w:w="1324"/>
        <w:gridCol w:w="29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RS</w:t>
            </w:r>
          </w:p>
        </w:tc>
        <w:tc>
          <w:tcPr>
            <w:tcW w:w="46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O2WS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氧气温湿度三合一变送器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N01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VOL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%V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ol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31"/>
          <w:szCs w:val="31"/>
        </w:rPr>
        <w:t>2</w:t>
      </w:r>
      <w:r>
        <w:rPr>
          <w:rStyle w:val="7"/>
          <w:rFonts w:hint="eastAsia" w:ascii="宋体" w:hAnsi="宋体" w:eastAsia="宋体" w:cs="宋体"/>
          <w:b/>
          <w:sz w:val="31"/>
          <w:szCs w:val="31"/>
        </w:rPr>
        <w:t>.设备安装说明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■氧气变送器设备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■自攻螺丝（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个）、膨胀塞（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■产品合格证、保修卡、接线说明等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</w:t>
      </w:r>
      <w:r>
        <w:rPr>
          <w:rFonts w:hint="default" w:ascii="Times New Roman" w:hAnsi="Times New Roman" w:eastAsia="宋体" w:cs="Times New Roman"/>
          <w:sz w:val="21"/>
          <w:szCs w:val="21"/>
        </w:rPr>
        <w:t>USB</w:t>
      </w:r>
      <w:r>
        <w:rPr>
          <w:rFonts w:hint="eastAsia" w:ascii="宋体" w:hAnsi="宋体" w:eastAsia="宋体" w:cs="宋体"/>
          <w:sz w:val="21"/>
          <w:szCs w:val="21"/>
        </w:rPr>
        <w:t>转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（选配）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715000" cy="5715000"/>
            <wp:effectExtent l="0" t="0" r="0" b="0"/>
            <wp:docPr id="3" name="图片 4" descr="QQ截图20200413115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QQ截图20200413115559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3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接口说明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宽电压电源输入</w:t>
      </w:r>
      <w:r>
        <w:rPr>
          <w:rFonts w:hint="default" w:ascii="Times New Roman" w:hAnsi="Times New Roman" w:cs="Times New Roman"/>
          <w:sz w:val="21"/>
          <w:szCs w:val="21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~</w:t>
      </w:r>
      <w:r>
        <w:rPr>
          <w:rFonts w:hint="default" w:ascii="Times New Roman" w:hAnsi="Times New Roman" w:cs="Times New Roman"/>
          <w:sz w:val="21"/>
          <w:szCs w:val="21"/>
        </w:rPr>
        <w:t>30</w:t>
      </w:r>
      <w:r>
        <w:rPr>
          <w:rFonts w:hint="eastAsia" w:ascii="宋体" w:hAnsi="宋体" w:eastAsia="宋体" w:cs="宋体"/>
          <w:sz w:val="21"/>
          <w:szCs w:val="21"/>
        </w:rPr>
        <w:t>V均可。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信号线接线时注意</w:t>
      </w:r>
      <w:r>
        <w:rPr>
          <w:rFonts w:hint="default" w:ascii="Times New Roman" w:hAnsi="Times New Roman" w:cs="Times New Roman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\</w:t>
      </w:r>
      <w:r>
        <w:rPr>
          <w:rFonts w:hint="default" w:ascii="Times New Roman" w:hAnsi="Times New Roman" w:cs="Times New Roman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两条线不能接反，总线上多台设备间地址不能冲突。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3210"/>
        <w:gridCol w:w="31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线色</w:t>
            </w:r>
          </w:p>
        </w:tc>
        <w:tc>
          <w:tcPr>
            <w:tcW w:w="3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源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棕色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电源正（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蓝色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B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4485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现场布线说明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多个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型号的设备接入同一条总线时，现场布线有一定的要求，具体请参考资料包中《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设备现场接线手册》。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D0851"/>
    <w:rsid w:val="2E8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2020-04-13T03:58:00Z</dcterms:created>
  <dc:creator>321</dc:creator>
  <cp:lastModifiedBy>321</cp:lastModifiedBy>
  <dcterms:modified xsi:type="dcterms:W3CDTF">2020-04-13T03:59:17Z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