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LB-1800型总氮测定仪</w:t>
      </w:r>
    </w:p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center"/>
        <w:rPr>
          <w:rFonts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instrText xml:space="preserve">INCLUDEPICTURE \d "http://www.qdloobo.cn/UploadFiles/201511315325574.jpg" \* MERGEFORMATINET </w:instrTex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3076575" cy="22098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产品特点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Ø 根据GB11894-89设计研发，测定结果准确有效。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Ø 采用进口高亮度长寿命冷光源，光学性能极佳，光源寿命长达10万小时。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Ø 大屏幕液晶中文显示，操作简单省时。 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Ø 可保存标准曲线20条及999个测定值（日期、时间、参数、检测数据）。 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Ø 内存标准工作曲线，用户还可以根据需要标定曲线。 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Ø 具有数据断电保护功能和数据储存功能。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Ø 具有USB接口，数据可传输到电脑。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Ø 具有打印功能，可对测试的记录立即打印或查询记录打印。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Ø 消解器通用于COD、总磷、总氮等项目的消解；智能PID温度控制技术，加热均匀、加热速度快。 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Ø 消解器温度自动控制，防超温保护系统，显示当前温度，设定温度，时间。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检测原理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    运用消解管密闭消解，以过硫酸钾为氧化剂，在125℃条件下，将样品中的含氮化合物全部转化为硝酸盐，再在酸性条件下与显色剂反应，生成络合物，利用紫外吸收光度法测定其吸光度，经过微电脑芯片计算后直接显示总氮含量（mg/L）。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技术参数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Style w:val="4"/>
        <w:tblW w:w="565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3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测量参数</w:t>
            </w:r>
          </w:p>
        </w:tc>
        <w:tc>
          <w:tcPr>
            <w:tcW w:w="388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测量范围</w:t>
            </w:r>
          </w:p>
        </w:tc>
        <w:tc>
          <w:tcPr>
            <w:tcW w:w="388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0.05-100mg/L分段测量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测量误差</w:t>
            </w:r>
          </w:p>
        </w:tc>
        <w:tc>
          <w:tcPr>
            <w:tcW w:w="388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≤±5%（F.S）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重复性</w:t>
            </w:r>
          </w:p>
        </w:tc>
        <w:tc>
          <w:tcPr>
            <w:tcW w:w="388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≤3%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消解温度</w:t>
            </w:r>
          </w:p>
        </w:tc>
        <w:tc>
          <w:tcPr>
            <w:tcW w:w="388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125℃±1.5℃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消解时间</w:t>
            </w:r>
          </w:p>
        </w:tc>
        <w:tc>
          <w:tcPr>
            <w:tcW w:w="388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最大功率</w:t>
            </w:r>
          </w:p>
        </w:tc>
        <w:tc>
          <w:tcPr>
            <w:tcW w:w="388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主机小于100W    消解仪650W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外型尺寸</w:t>
            </w:r>
          </w:p>
        </w:tc>
        <w:tc>
          <w:tcPr>
            <w:tcW w:w="388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主机：310mm×230mm×150mm</w:t>
            </w: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消解仪：230mm×340mm×130mm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8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重量</w:t>
            </w:r>
          </w:p>
        </w:tc>
        <w:tc>
          <w:tcPr>
            <w:tcW w:w="388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Arial" w:hAnsi="Arial" w:cs="Arial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主机小于3kg，消解仪小于6.7kg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Style w:val="6"/>
          <w:rFonts w:hint="default" w:ascii="Times New Roman" w:hAnsi="Times New Roman" w:eastAsia="宋体" w:cs="Times New Roman"/>
          <w:i w:val="0"/>
          <w:caps w:val="0"/>
          <w:color w:val="0E0E0E"/>
          <w:spacing w:val="0"/>
          <w:kern w:val="0"/>
          <w:sz w:val="27"/>
          <w:szCs w:val="27"/>
          <w:shd w:val="clear" w:fill="FFFFFF"/>
          <w:lang w:val="en-US" w:eastAsia="zh-CN" w:bidi="ar"/>
        </w:rPr>
        <w:t>青岛路博公司为您提供本产品</w:t>
      </w:r>
      <w:r>
        <w:rPr>
          <w:rStyle w:val="6"/>
          <w:rFonts w:hint="default" w:ascii="Times New Roman" w:hAnsi="Times New Roman" w:eastAsia="宋体" w:cs="Times New Roman"/>
          <w:i w:val="0"/>
          <w:caps w:val="0"/>
          <w:color w:val="070707"/>
          <w:spacing w:val="0"/>
          <w:kern w:val="0"/>
          <w:sz w:val="27"/>
          <w:szCs w:val="27"/>
          <w:shd w:val="clear" w:fill="FFFFFF"/>
          <w:lang w:val="en-US" w:eastAsia="zh-CN" w:bidi="ar"/>
        </w:rPr>
        <w:t>全面的技术支持和完善的售后服务</w:t>
      </w:r>
      <w:r>
        <w:rPr>
          <w:rStyle w:val="6"/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kern w:val="0"/>
          <w:sz w:val="36"/>
          <w:szCs w:val="36"/>
          <w:shd w:val="clear" w:fill="FFFFFF"/>
          <w:lang w:val="en-US" w:eastAsia="zh-CN" w:bidi="ar"/>
        </w:rPr>
        <w:t>。</w:t>
      </w:r>
    </w:p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/>
        <w:lang w:eastAsia="zh-CN"/>
      </w:rPr>
      <w:t>产品负责人：赵丽　　　　　电话：１５５８９８１２３７３　　　　　　ＱＱ：９７１５０６３９４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2" name="图片 1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51E52"/>
    <w:rsid w:val="5FB51E52"/>
    <w:rsid w:val="60F710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2017-04-13T02:40:00Z</dcterms:created>
  <dc:creator>Administrator</dc:creator>
  <cp:lastModifiedBy>路博赵丽15589812373</cp:lastModifiedBy>
  <dcterms:modified xsi:type="dcterms:W3CDTF">2019-08-23T07:51:09Z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