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b/>
          <w:color w:val="auto"/>
          <w:sz w:val="36"/>
          <w:highlight w:val="none"/>
        </w:rPr>
      </w:pPr>
      <w:r>
        <w:rPr>
          <w:rFonts w:hint="eastAsia" w:eastAsia="黑体"/>
          <w:b/>
          <w:color w:val="auto"/>
          <w:sz w:val="28"/>
          <w:highlight w:val="none"/>
        </w:rPr>
        <w:drawing>
          <wp:inline distT="0" distB="0" distL="114300" distR="114300">
            <wp:extent cx="533400" cy="514350"/>
            <wp:effectExtent l="19050" t="0" r="0" b="0"/>
            <wp:docPr id="2" name="Picture 2" descr="三方诚信标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三方诚信标志01"/>
                    <pic:cNvPicPr>
                      <a:picLocks noChangeAspect="1" noChangeArrowheads="1"/>
                    </pic:cNvPicPr>
                  </pic:nvPicPr>
                  <pic:blipFill>
                    <a:blip r:embed="rId7" cstate="print"/>
                    <a:srcRect/>
                    <a:stretch>
                      <a:fillRect/>
                    </a:stretch>
                  </pic:blipFill>
                  <pic:spPr>
                    <a:xfrm>
                      <a:off x="0" y="0"/>
                      <a:ext cx="533400" cy="514350"/>
                    </a:xfrm>
                    <a:prstGeom prst="rect">
                      <a:avLst/>
                    </a:prstGeom>
                    <a:noFill/>
                    <a:ln w="9525">
                      <a:noFill/>
                      <a:miter lim="800000"/>
                      <a:headEnd/>
                      <a:tailEnd/>
                    </a:ln>
                  </pic:spPr>
                </pic:pic>
              </a:graphicData>
            </a:graphic>
          </wp:inline>
        </w:drawing>
      </w:r>
    </w:p>
    <w:p>
      <w:pPr>
        <w:rPr>
          <w:color w:val="auto"/>
          <w:highlight w:val="none"/>
        </w:rPr>
      </w:pPr>
    </w:p>
    <w:p>
      <w:pPr>
        <w:rPr>
          <w:color w:val="auto"/>
          <w:highlight w:val="none"/>
        </w:rPr>
      </w:pPr>
    </w:p>
    <w:p>
      <w:pPr>
        <w:rPr>
          <w:color w:val="auto"/>
          <w:highlight w:val="none"/>
        </w:rPr>
      </w:pPr>
    </w:p>
    <w:p>
      <w:pPr>
        <w:jc w:val="center"/>
        <w:rPr>
          <w:rFonts w:ascii="黑体" w:eastAsia="黑体"/>
          <w:b/>
          <w:color w:val="auto"/>
          <w:sz w:val="72"/>
          <w:szCs w:val="32"/>
          <w:highlight w:val="none"/>
        </w:rPr>
      </w:pPr>
      <w:r>
        <w:rPr>
          <w:rFonts w:hint="eastAsia" w:ascii="黑体" w:eastAsia="黑体"/>
          <w:b/>
          <w:color w:val="auto"/>
          <w:sz w:val="72"/>
          <w:szCs w:val="32"/>
          <w:highlight w:val="none"/>
        </w:rPr>
        <w:t>东莞市政府采购</w:t>
      </w:r>
    </w:p>
    <w:p>
      <w:pPr>
        <w:jc w:val="center"/>
        <w:rPr>
          <w:b/>
          <w:color w:val="auto"/>
          <w:sz w:val="72"/>
          <w:szCs w:val="32"/>
          <w:highlight w:val="none"/>
        </w:rPr>
      </w:pPr>
      <w:r>
        <w:rPr>
          <w:rFonts w:hint="eastAsia" w:ascii="黑体" w:eastAsia="黑体"/>
          <w:b/>
          <w:color w:val="auto"/>
          <w:sz w:val="72"/>
          <w:szCs w:val="32"/>
          <w:highlight w:val="none"/>
        </w:rPr>
        <w:t>公开招标文件</w:t>
      </w:r>
    </w:p>
    <w:p>
      <w:pPr>
        <w:jc w:val="center"/>
        <w:rPr>
          <w:color w:val="auto"/>
          <w:highlight w:val="none"/>
        </w:rPr>
      </w:pPr>
    </w:p>
    <w:p>
      <w:pPr>
        <w:jc w:val="center"/>
        <w:rPr>
          <w:color w:val="auto"/>
          <w:highlight w:val="none"/>
        </w:rPr>
      </w:pPr>
    </w:p>
    <w:p>
      <w:pPr>
        <w:rPr>
          <w:color w:val="auto"/>
          <w:highlight w:val="none"/>
        </w:rPr>
      </w:pPr>
    </w:p>
    <w:p>
      <w:pPr>
        <w:rPr>
          <w:rFonts w:hint="eastAsia" w:ascii="Arial" w:hAnsi="Arial" w:eastAsia="黑体" w:cs="Arial"/>
          <w:bCs/>
          <w:color w:val="auto"/>
          <w:sz w:val="44"/>
          <w:highlight w:val="none"/>
        </w:rPr>
      </w:pPr>
      <w:r>
        <w:rPr>
          <w:rFonts w:hint="eastAsia" w:ascii="Arial" w:hAnsi="Arial" w:eastAsia="黑体" w:cs="Arial"/>
          <w:bCs/>
          <w:color w:val="auto"/>
          <w:sz w:val="44"/>
          <w:highlight w:val="none"/>
        </w:rPr>
        <w:t>项目名称：</w:t>
      </w:r>
      <w:r>
        <w:rPr>
          <w:rFonts w:hint="eastAsia" w:ascii="Arial" w:hAnsi="Arial" w:eastAsia="黑体" w:cs="Arial"/>
          <w:bCs/>
          <w:color w:val="auto"/>
          <w:sz w:val="44"/>
          <w:highlight w:val="none"/>
          <w:lang w:eastAsia="zh-CN"/>
        </w:rPr>
        <w:t>2019年大岭山镇雨污分流管网工程</w:t>
      </w:r>
      <w:r>
        <w:rPr>
          <w:rFonts w:hint="eastAsia" w:ascii="Arial" w:hAnsi="Arial" w:eastAsia="黑体" w:cs="Arial"/>
          <w:bCs/>
          <w:color w:val="auto"/>
          <w:sz w:val="44"/>
          <w:highlight w:val="none"/>
        </w:rPr>
        <w:t>第三方监测、检测及管道电视（CCTV）质量检测服务项目</w:t>
      </w:r>
    </w:p>
    <w:p>
      <w:pPr>
        <w:rPr>
          <w:rFonts w:hint="eastAsia" w:ascii="Arial" w:hAnsi="Arial" w:eastAsia="黑体" w:cs="Arial"/>
          <w:bCs/>
          <w:color w:val="auto"/>
          <w:sz w:val="44"/>
          <w:highlight w:val="none"/>
        </w:rPr>
      </w:pPr>
      <w:r>
        <w:rPr>
          <w:rFonts w:hint="eastAsia" w:ascii="Arial" w:hAnsi="Arial" w:eastAsia="黑体" w:cs="Arial"/>
          <w:bCs/>
          <w:color w:val="auto"/>
          <w:sz w:val="44"/>
          <w:highlight w:val="none"/>
        </w:rPr>
        <w:t>采购项目编号：</w:t>
      </w:r>
      <w:r>
        <w:rPr>
          <w:rFonts w:hint="eastAsia" w:ascii="Arial" w:hAnsi="Arial" w:eastAsia="黑体" w:cs="Arial"/>
          <w:bCs/>
          <w:color w:val="auto"/>
          <w:sz w:val="44"/>
          <w:highlight w:val="none"/>
          <w:lang w:val="en-US" w:eastAsia="zh-CN"/>
        </w:rPr>
        <w:t>441900-17-202001-1709003-0001</w:t>
      </w:r>
      <w:r>
        <w:rPr>
          <w:rFonts w:hint="eastAsia" w:ascii="Arial" w:hAnsi="Arial" w:eastAsia="黑体" w:cs="Arial"/>
          <w:bCs/>
          <w:color w:val="auto"/>
          <w:sz w:val="44"/>
          <w:highlight w:val="none"/>
        </w:rPr>
        <w:t xml:space="preserve"> </w:t>
      </w:r>
    </w:p>
    <w:p>
      <w:pPr>
        <w:rPr>
          <w:rFonts w:ascii="Arial" w:hAnsi="Arial" w:eastAsia="黑体" w:cs="Arial"/>
          <w:bCs/>
          <w:color w:val="auto"/>
          <w:sz w:val="28"/>
          <w:highlight w:val="none"/>
        </w:rPr>
      </w:pPr>
      <w:r>
        <w:rPr>
          <w:rFonts w:hint="eastAsia" w:ascii="Arial" w:hAnsi="Arial" w:eastAsia="黑体" w:cs="Arial"/>
          <w:bCs/>
          <w:color w:val="auto"/>
          <w:sz w:val="44"/>
          <w:highlight w:val="none"/>
        </w:rPr>
        <w:t>采购人</w:t>
      </w:r>
      <w:r>
        <w:rPr>
          <w:rFonts w:ascii="Arial" w:hAnsi="Arial" w:eastAsia="黑体" w:cs="Arial"/>
          <w:bCs/>
          <w:color w:val="auto"/>
          <w:sz w:val="44"/>
          <w:highlight w:val="none"/>
        </w:rPr>
        <w:t>：</w:t>
      </w:r>
      <w:r>
        <w:rPr>
          <w:rFonts w:hint="eastAsia" w:ascii="Arial" w:hAnsi="Arial" w:eastAsia="黑体" w:cs="Arial"/>
          <w:bCs/>
          <w:color w:val="auto"/>
          <w:sz w:val="44"/>
          <w:highlight w:val="none"/>
        </w:rPr>
        <w:t>东莞市大岭山镇水务工程建设运营中心</w:t>
      </w:r>
      <w:r>
        <w:rPr>
          <w:rFonts w:hint="eastAsia" w:ascii="Arial" w:hAnsi="Arial" w:eastAsia="黑体" w:cs="Arial"/>
          <w:bCs/>
          <w:color w:val="auto"/>
          <w:sz w:val="28"/>
          <w:highlight w:val="none"/>
        </w:rPr>
        <w:t xml:space="preserve"> </w:t>
      </w:r>
    </w:p>
    <w:p>
      <w:pPr>
        <w:jc w:val="center"/>
        <w:rPr>
          <w:rFonts w:ascii="黑体" w:eastAsia="黑体"/>
          <w:color w:val="auto"/>
          <w:szCs w:val="21"/>
          <w:highlight w:val="none"/>
        </w:rPr>
      </w:pPr>
    </w:p>
    <w:p>
      <w:pPr>
        <w:jc w:val="center"/>
        <w:rPr>
          <w:rFonts w:ascii="黑体" w:eastAsia="黑体"/>
          <w:color w:val="auto"/>
          <w:szCs w:val="21"/>
          <w:highlight w:val="none"/>
        </w:rPr>
      </w:pPr>
    </w:p>
    <w:p>
      <w:pPr>
        <w:jc w:val="center"/>
        <w:rPr>
          <w:rFonts w:ascii="黑体" w:eastAsia="黑体"/>
          <w:color w:val="auto"/>
          <w:sz w:val="52"/>
          <w:szCs w:val="44"/>
          <w:highlight w:val="none"/>
        </w:rPr>
      </w:pPr>
      <w:r>
        <w:rPr>
          <w:rFonts w:hint="eastAsia" w:ascii="黑体" w:eastAsia="黑体"/>
          <w:color w:val="auto"/>
          <w:sz w:val="52"/>
          <w:szCs w:val="44"/>
          <w:highlight w:val="none"/>
        </w:rPr>
        <w:t>广东三方诚信招标有限公司</w:t>
      </w:r>
    </w:p>
    <w:p>
      <w:pPr>
        <w:jc w:val="center"/>
        <w:rPr>
          <w:rFonts w:ascii="黑体" w:eastAsia="黑体"/>
          <w:color w:val="auto"/>
          <w:sz w:val="52"/>
          <w:szCs w:val="44"/>
          <w:highlight w:val="none"/>
        </w:rPr>
      </w:pPr>
      <w:r>
        <w:rPr>
          <w:rFonts w:hint="eastAsia" w:ascii="黑体" w:eastAsia="黑体"/>
          <w:color w:val="auto"/>
          <w:sz w:val="52"/>
          <w:szCs w:val="44"/>
          <w:highlight w:val="none"/>
        </w:rPr>
        <w:t>东莞分公司</w:t>
      </w:r>
    </w:p>
    <w:p>
      <w:pPr>
        <w:pStyle w:val="14"/>
        <w:rPr>
          <w:color w:val="auto"/>
          <w:sz w:val="32"/>
          <w:szCs w:val="32"/>
          <w:highlight w:val="none"/>
        </w:rPr>
        <w:sectPr>
          <w:headerReference r:id="rId3" w:type="default"/>
          <w:pgSz w:w="11906" w:h="16838"/>
          <w:pgMar w:top="1440" w:right="1800" w:bottom="1440" w:left="1800" w:header="708" w:footer="708" w:gutter="0"/>
          <w:pgNumType w:start="0"/>
          <w:cols w:space="708" w:num="1"/>
          <w:titlePg/>
          <w:docGrid w:type="lines" w:linePitch="360" w:charSpace="0"/>
        </w:sectPr>
      </w:pPr>
    </w:p>
    <w:p>
      <w:pPr>
        <w:pStyle w:val="14"/>
        <w:rPr>
          <w:color w:val="auto"/>
          <w:sz w:val="40"/>
          <w:szCs w:val="40"/>
          <w:highlight w:val="none"/>
        </w:rPr>
      </w:pPr>
      <w:r>
        <w:rPr>
          <w:rFonts w:hint="eastAsia"/>
          <w:color w:val="auto"/>
          <w:sz w:val="40"/>
          <w:szCs w:val="40"/>
          <w:highlight w:val="none"/>
        </w:rPr>
        <w:t>目录</w:t>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TOC \o "1-4" \h \z \u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_Toc1420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投标邀请书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_Toc1420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_Toc14146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第二部分 相关资料表格</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_Toc14146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_Toc20683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附表一：投标资料表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_Toc20683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_Toc9572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附表二：商务技术评分及价格权重表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_Toc9572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_Toc31854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第三部分 用户需求书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_Toc31854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_Toc3968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用户需求明细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_Toc3968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_Toc2479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第四部分 投标人须知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_Toc2479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_Toc19746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一、 说明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_Toc19746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_Toc18488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1.适用范围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_Toc18488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_Toc13400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2.定义</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_Toc13400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_Toc3780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3.货物和服务</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_Toc3780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_Toc15945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4.投标费用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_Toc15945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_Toc25040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5.知识产权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_Toc25040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_Toc21930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6.关于联合体投标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_Toc21930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_Toc16571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7.关于分支机构投标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_Toc16571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_Toc17879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二、 招标文件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_Toc17879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_Toc21771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8.招标文件的组成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_Toc21771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_Toc14217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9.招标文件的澄清或修改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_Toc14217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_Toc23726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三、 投标文件的编制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_Toc23726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_Toc20623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10.投标文件的语言及度量衡单位</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_Toc20623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_Toc12145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11.投标文件的组成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_Toc12145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_Toc30189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12.投标文件编制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_Toc30189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13.投标报价说明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_Toc27724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14.投标人所提供的服务或货物的证明文件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_Toc27724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_Toc19520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15.投标有效期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_Toc19520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_Toc12456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16.投标保证金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_Toc12456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_Toc31124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四、 投标文件的递交</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_Toc31124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_Toc29590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17.投标文件的装订，签署，密封和标记</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_Toc29590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_Toc8628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18.迟交的投标文件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_Toc8628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_Toc13212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19.投标样品（如需提交）</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_Toc13212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_Toc5900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20.投标截止期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_Toc5900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_Toc6003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21.投标文件的补充、修改与撤回</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_Toc6003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_Toc29574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五、 开标与评标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_Toc29574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_Toc28458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22.开标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_Toc28458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_Toc5524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23.评标委员会及评标方法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_Toc5524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_Toc15231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24.评审原则及评标过程的保密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_Toc15231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_Toc3762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25.投标文件的初审</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_Toc3762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_Toc21742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26.商务、技术、价格评审（具体评审项目详见投标资料表）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_Toc21742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_Toc22192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27.优惠政策</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_Toc22192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_Toc22591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28.纪律和保密事项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_Toc22591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_Toc29310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六、 授予合同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_Toc29310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_Toc27817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29.合同授予标准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_Toc27817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_Toc29283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30.发布采购结果</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_Toc29283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_Toc22451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31.合同的签订与履行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_Toc22451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32.履约保证金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_Toc13694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七、询问或质疑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_Toc13694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_Toc25498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33.询问</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_Toc25498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_Toc8234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34.质疑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_Toc8234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_Toc24383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八、其他</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_Toc24383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_Toc10082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35.招标文件的解释权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_Toc10082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_Toc21448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第五部分 合同格式（仅供参考）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_Toc21448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_Toc16730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合同格式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_Toc16730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_Toc23749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第六部分  附件－投标文件格式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_Toc23749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_Toc26830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附件1.投标文件目录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_Toc26830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_Toc18893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附件1-1 评分标准索引表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_Toc18893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_Toc30640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附件2.投标书格式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_Toc30640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_Toc6866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附件3.开标一览表格式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_Toc6866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_Toc3254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附件4.投标分项报价表格式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_Toc3254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_Toc16412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附件5.法定代表人证明书格式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_Toc16412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_Toc31205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附件6.法定代表人授权书格式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_Toc31205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_Toc17164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附件7.资格申明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_Toc17164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_Toc27839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附件8.营业执照</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_Toc27839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_Toc26141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附件9.相关资质证明文件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_Toc26141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_Toc17618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附件10.商务条款偏离表格式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_Toc17618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_Toc32183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附件11.技术规格偏离表格式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_Toc32183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_Toc29613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附件12.重要技术参数（▲）响应表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_Toc29613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_Toc27674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附件13.业绩表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_Toc27674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_Toc7860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附件14.项目实施方案格式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_Toc7860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_Toc8596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附件15.实施本项目的有关人员资料表格式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_Toc8596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_Toc21598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附件16.投标货物说明一览表格式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_Toc21598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_Toc10094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附件17.在经营活动中没有重大违法记录的书面声明格式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_Toc10094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_Toc21223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附件18.中小企业声明函（投标人为中小企业时适用）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_Toc21223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_Toc28081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附件19.《残疾人福利性单位声明函》（残疾人福利性单位适用）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_Toc28081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_Toc25634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附件20.投标保证金汇入情况说明格式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_Toc25634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_Toc4363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附件21.政府采购投标担保函</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_Toc4363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_Toc27534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附件22.政府采购履约担保函</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_Toc27534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_Toc17023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附件23.获取招标文件登记表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_Toc17023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_Toc11182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lang w:eastAsia="zh-CN"/>
        </w:rPr>
        <w:t>附件</w:t>
      </w:r>
      <w:r>
        <w:rPr>
          <w:rFonts w:hint="eastAsia" w:ascii="宋体" w:hAnsi="宋体" w:eastAsia="宋体" w:cs="宋体"/>
          <w:color w:val="auto"/>
          <w:sz w:val="21"/>
          <w:szCs w:val="21"/>
          <w:highlight w:val="none"/>
          <w:lang w:val="en-US" w:eastAsia="zh-CN"/>
        </w:rPr>
        <w:t>24.质疑函范本</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_Toc11182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jc w:val="both"/>
        <w:textAlignment w:val="auto"/>
        <w:rPr>
          <w:rFonts w:cs="宋体"/>
          <w:color w:val="auto"/>
          <w:szCs w:val="21"/>
          <w:highlight w:val="none"/>
        </w:rPr>
      </w:pPr>
      <w:r>
        <w:rPr>
          <w:rFonts w:hint="eastAsia" w:ascii="宋体" w:hAnsi="宋体" w:eastAsia="宋体" w:cs="宋体"/>
          <w:color w:val="auto"/>
          <w:sz w:val="21"/>
          <w:szCs w:val="21"/>
          <w:highlight w:val="none"/>
        </w:rPr>
        <w:fldChar w:fldCharType="end"/>
      </w:r>
    </w:p>
    <w:p>
      <w:pPr>
        <w:rPr>
          <w:rFonts w:ascii="宋体" w:hAnsi="宋体" w:eastAsia="宋体" w:cs="宋体"/>
          <w:color w:val="auto"/>
          <w:szCs w:val="21"/>
          <w:highlight w:val="none"/>
        </w:rPr>
      </w:pPr>
      <w:r>
        <w:rPr>
          <w:rFonts w:hint="eastAsia" w:ascii="宋体" w:hAnsi="宋体" w:eastAsia="宋体" w:cs="宋体"/>
          <w:color w:val="auto"/>
          <w:szCs w:val="21"/>
          <w:highlight w:val="none"/>
        </w:rPr>
        <w:br w:type="page"/>
      </w:r>
    </w:p>
    <w:p>
      <w:pPr>
        <w:pStyle w:val="3"/>
        <w:spacing w:before="0" w:after="0" w:line="240" w:lineRule="auto"/>
        <w:rPr>
          <w:rFonts w:asciiTheme="majorHAnsi" w:hAnsiTheme="majorHAnsi" w:eastAsiaTheme="majorEastAsia" w:cstheme="majorBidi"/>
          <w:b/>
          <w:bCs/>
          <w:color w:val="auto"/>
          <w:sz w:val="28"/>
          <w:szCs w:val="28"/>
          <w:highlight w:val="none"/>
        </w:rPr>
      </w:pPr>
      <w:r>
        <w:rPr>
          <w:rFonts w:hint="eastAsia" w:asciiTheme="majorHAnsi" w:hAnsiTheme="majorHAnsi" w:eastAsiaTheme="majorEastAsia" w:cstheme="majorBidi"/>
          <w:b/>
          <w:bCs/>
          <w:color w:val="auto"/>
          <w:sz w:val="28"/>
          <w:szCs w:val="28"/>
          <w:highlight w:val="none"/>
        </w:rPr>
        <w:t>第一部分 投标邀请</w:t>
      </w:r>
    </w:p>
    <w:p>
      <w:pPr>
        <w:pStyle w:val="4"/>
        <w:spacing w:before="0" w:after="0" w:line="360" w:lineRule="auto"/>
        <w:jc w:val="center"/>
        <w:rPr>
          <w:rFonts w:ascii="宋体" w:hAnsi="宋体" w:eastAsia="宋体" w:cs="宋体"/>
          <w:color w:val="auto"/>
          <w:highlight w:val="none"/>
        </w:rPr>
      </w:pPr>
      <w:bookmarkStart w:id="0" w:name="_Toc1420"/>
      <w:r>
        <w:rPr>
          <w:rFonts w:hint="eastAsia" w:ascii="宋体" w:hAnsi="宋体" w:eastAsia="宋体" w:cs="宋体"/>
          <w:color w:val="auto"/>
          <w:highlight w:val="none"/>
        </w:rPr>
        <w:t>投标邀请书</w:t>
      </w:r>
      <w:bookmarkEnd w:id="0"/>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广东三方诚信招标有限公司东莞分公司</w:t>
      </w:r>
      <w:r>
        <w:rPr>
          <w:rFonts w:ascii="宋体" w:hAnsi="宋体" w:eastAsia="宋体"/>
          <w:color w:val="auto"/>
          <w:sz w:val="21"/>
          <w:szCs w:val="21"/>
          <w:highlight w:val="none"/>
        </w:rPr>
        <w:t>（以下简称</w:t>
      </w:r>
      <w:r>
        <w:rPr>
          <w:rFonts w:hint="eastAsia" w:ascii="宋体" w:hAnsi="宋体" w:eastAsia="宋体"/>
          <w:color w:val="auto"/>
          <w:sz w:val="21"/>
          <w:szCs w:val="21"/>
          <w:highlight w:val="none"/>
        </w:rPr>
        <w:t>“采购代理机构”</w:t>
      </w:r>
      <w:r>
        <w:rPr>
          <w:rFonts w:ascii="宋体" w:hAnsi="宋体" w:eastAsia="宋体"/>
          <w:color w:val="auto"/>
          <w:sz w:val="21"/>
          <w:szCs w:val="21"/>
          <w:highlight w:val="none"/>
        </w:rPr>
        <w:t>）受</w:t>
      </w:r>
      <w:r>
        <w:rPr>
          <w:rFonts w:hint="eastAsia" w:ascii="宋体" w:hAnsi="宋体" w:eastAsia="宋体"/>
          <w:b/>
          <w:color w:val="auto"/>
          <w:sz w:val="21"/>
          <w:szCs w:val="21"/>
          <w:highlight w:val="none"/>
          <w:u w:val="single"/>
          <w:lang w:eastAsia="zh-CN"/>
        </w:rPr>
        <w:t>东莞市大岭山镇水务工程建设运营中心</w:t>
      </w:r>
      <w:r>
        <w:rPr>
          <w:rFonts w:ascii="宋体" w:hAnsi="宋体" w:eastAsia="宋体"/>
          <w:color w:val="auto"/>
          <w:sz w:val="21"/>
          <w:szCs w:val="21"/>
          <w:highlight w:val="none"/>
        </w:rPr>
        <w:t>（以下简称</w:t>
      </w:r>
      <w:r>
        <w:rPr>
          <w:rFonts w:hint="eastAsia" w:ascii="宋体" w:hAnsi="宋体" w:eastAsia="宋体"/>
          <w:color w:val="auto"/>
          <w:sz w:val="21"/>
          <w:szCs w:val="21"/>
          <w:highlight w:val="none"/>
        </w:rPr>
        <w:t>“采购人”</w:t>
      </w:r>
      <w:r>
        <w:rPr>
          <w:rFonts w:ascii="宋体" w:hAnsi="宋体" w:eastAsia="宋体"/>
          <w:color w:val="auto"/>
          <w:sz w:val="21"/>
          <w:szCs w:val="21"/>
          <w:highlight w:val="none"/>
        </w:rPr>
        <w:t>）委托，</w:t>
      </w:r>
      <w:r>
        <w:rPr>
          <w:rFonts w:hint="eastAsia" w:ascii="宋体" w:hAnsi="宋体" w:eastAsia="宋体"/>
          <w:color w:val="auto"/>
          <w:sz w:val="21"/>
          <w:szCs w:val="21"/>
          <w:highlight w:val="none"/>
        </w:rPr>
        <w:t>现</w:t>
      </w:r>
      <w:r>
        <w:rPr>
          <w:rFonts w:ascii="宋体" w:hAnsi="宋体" w:eastAsia="宋体"/>
          <w:color w:val="auto"/>
          <w:sz w:val="21"/>
          <w:szCs w:val="21"/>
          <w:highlight w:val="none"/>
        </w:rPr>
        <w:t>就</w:t>
      </w:r>
      <w:r>
        <w:rPr>
          <w:rFonts w:hint="eastAsia" w:ascii="宋体" w:hAnsi="宋体" w:eastAsia="宋体"/>
          <w:b/>
          <w:color w:val="auto"/>
          <w:sz w:val="21"/>
          <w:szCs w:val="21"/>
          <w:highlight w:val="none"/>
          <w:u w:val="single"/>
          <w:lang w:eastAsia="zh-CN"/>
        </w:rPr>
        <w:t>2019年大岭山镇雨污分流管网工程第三方监测、检测及管道电视（CCTV）质量检测服务项目</w:t>
      </w:r>
      <w:r>
        <w:rPr>
          <w:rFonts w:hint="eastAsia" w:ascii="宋体" w:hAnsi="宋体" w:eastAsia="宋体"/>
          <w:color w:val="auto"/>
          <w:sz w:val="21"/>
          <w:szCs w:val="21"/>
          <w:highlight w:val="none"/>
        </w:rPr>
        <w:t>（采购项目编号：</w:t>
      </w:r>
      <w:r>
        <w:rPr>
          <w:rFonts w:hint="eastAsia" w:ascii="宋体" w:hAnsi="宋体" w:eastAsia="宋体"/>
          <w:b/>
          <w:color w:val="auto"/>
          <w:sz w:val="21"/>
          <w:szCs w:val="21"/>
          <w:highlight w:val="none"/>
          <w:u w:val="single"/>
          <w:lang w:val="en-US" w:eastAsia="zh-CN"/>
        </w:rPr>
        <w:t xml:space="preserve"> 441900-17-202001-1709003-0001</w:t>
      </w:r>
      <w:r>
        <w:rPr>
          <w:rFonts w:hint="eastAsia" w:ascii="宋体" w:hAnsi="宋体" w:eastAsia="宋体"/>
          <w:color w:val="auto"/>
          <w:sz w:val="21"/>
          <w:szCs w:val="21"/>
          <w:highlight w:val="none"/>
        </w:rPr>
        <w:t>）</w:t>
      </w:r>
      <w:r>
        <w:rPr>
          <w:rFonts w:hint="eastAsia" w:ascii="宋体" w:hAnsi="宋体" w:eastAsia="宋体" w:cs="Times New Roman"/>
          <w:color w:val="auto"/>
          <w:sz w:val="21"/>
          <w:szCs w:val="21"/>
          <w:highlight w:val="none"/>
        </w:rPr>
        <w:t>进行国内公开招标采购</w:t>
      </w:r>
      <w:r>
        <w:rPr>
          <w:rFonts w:hint="eastAsia" w:ascii="宋体" w:hAnsi="宋体" w:eastAsia="宋体"/>
          <w:color w:val="auto"/>
          <w:sz w:val="21"/>
          <w:szCs w:val="21"/>
          <w:highlight w:val="none"/>
        </w:rPr>
        <w:t>，欢迎符合招标文件要求的国内投标人参加投标</w:t>
      </w:r>
      <w:r>
        <w:rPr>
          <w:rFonts w:ascii="宋体" w:hAnsi="宋体" w:eastAsia="宋体"/>
          <w:color w:val="auto"/>
          <w:sz w:val="21"/>
          <w:szCs w:val="21"/>
          <w:highlight w:val="none"/>
        </w:rPr>
        <w:t>。有关事项如下：</w:t>
      </w:r>
    </w:p>
    <w:p>
      <w:pPr>
        <w:spacing w:after="0" w:line="360" w:lineRule="auto"/>
        <w:ind w:firstLine="413" w:firstLineChars="196"/>
        <w:rPr>
          <w:rFonts w:ascii="宋体" w:hAnsi="宋体" w:eastAsia="宋体"/>
          <w:b/>
          <w:color w:val="auto"/>
          <w:sz w:val="21"/>
          <w:szCs w:val="21"/>
          <w:highlight w:val="none"/>
        </w:rPr>
      </w:pPr>
    </w:p>
    <w:p>
      <w:pPr>
        <w:spacing w:after="0" w:line="360" w:lineRule="auto"/>
        <w:ind w:firstLine="413" w:firstLineChars="196"/>
        <w:rPr>
          <w:rFonts w:ascii="宋体" w:hAnsi="宋体" w:eastAsia="宋体"/>
          <w:b/>
          <w:color w:val="auto"/>
          <w:sz w:val="21"/>
          <w:szCs w:val="21"/>
          <w:highlight w:val="none"/>
        </w:rPr>
      </w:pPr>
      <w:r>
        <w:rPr>
          <w:rFonts w:hint="eastAsia" w:ascii="宋体" w:hAnsi="宋体" w:eastAsia="宋体"/>
          <w:b/>
          <w:color w:val="auto"/>
          <w:sz w:val="21"/>
          <w:szCs w:val="21"/>
          <w:highlight w:val="none"/>
        </w:rPr>
        <w:t>一、招标项目的名称、用途、简要技术要求或者招标项目的性质</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1、项目内容：雨污分流管网工程第三方监测、检测及管道电视（CCTV）质量检测服务采购一项，预算：</w:t>
      </w:r>
      <w:r>
        <w:rPr>
          <w:rFonts w:hint="eastAsia" w:ascii="宋体" w:hAnsi="宋体" w:eastAsia="宋体"/>
          <w:b/>
          <w:color w:val="auto"/>
          <w:sz w:val="21"/>
          <w:szCs w:val="21"/>
          <w:highlight w:val="none"/>
          <w:u w:val="single"/>
          <w:lang w:val="en-US" w:eastAsia="zh-CN"/>
        </w:rPr>
        <w:t xml:space="preserve"> 4,155,400.00</w:t>
      </w:r>
      <w:r>
        <w:rPr>
          <w:rFonts w:hint="eastAsia" w:ascii="宋体" w:hAnsi="宋体" w:eastAsia="宋体"/>
          <w:color w:val="auto"/>
          <w:sz w:val="21"/>
          <w:szCs w:val="21"/>
          <w:highlight w:val="none"/>
        </w:rPr>
        <w:t>元。</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2、简要技术要求或招标项目的性质：详细内容请参阅招标文件第三部分《用户需求书》。</w:t>
      </w:r>
    </w:p>
    <w:p>
      <w:pPr>
        <w:spacing w:after="0" w:line="360" w:lineRule="auto"/>
        <w:ind w:firstLine="413" w:firstLineChars="196"/>
        <w:rPr>
          <w:rFonts w:ascii="宋体" w:hAnsi="宋体" w:eastAsia="宋体"/>
          <w:b/>
          <w:color w:val="auto"/>
          <w:sz w:val="21"/>
          <w:szCs w:val="21"/>
          <w:highlight w:val="none"/>
        </w:rPr>
      </w:pPr>
    </w:p>
    <w:p>
      <w:pPr>
        <w:spacing w:after="0" w:line="360" w:lineRule="auto"/>
        <w:ind w:firstLine="413" w:firstLineChars="196"/>
        <w:rPr>
          <w:rFonts w:ascii="宋体" w:hAnsi="宋体" w:eastAsia="宋体"/>
          <w:b/>
          <w:color w:val="auto"/>
          <w:sz w:val="21"/>
          <w:szCs w:val="21"/>
          <w:highlight w:val="none"/>
        </w:rPr>
      </w:pPr>
      <w:r>
        <w:rPr>
          <w:rFonts w:hint="eastAsia" w:ascii="宋体" w:hAnsi="宋体" w:eastAsia="宋体"/>
          <w:b/>
          <w:color w:val="auto"/>
          <w:sz w:val="21"/>
          <w:szCs w:val="21"/>
          <w:highlight w:val="none"/>
        </w:rPr>
        <w:t>二、投标人资格要求</w:t>
      </w:r>
    </w:p>
    <w:p>
      <w:pPr>
        <w:spacing w:after="0" w:line="360" w:lineRule="auto"/>
        <w:ind w:firstLine="411" w:firstLineChars="196"/>
        <w:rPr>
          <w:rFonts w:ascii="宋体" w:hAnsi="宋体" w:eastAsia="宋体"/>
          <w:color w:val="auto"/>
          <w:sz w:val="21"/>
          <w:szCs w:val="21"/>
          <w:highlight w:val="none"/>
        </w:rPr>
      </w:pPr>
      <w:r>
        <w:rPr>
          <w:rFonts w:hint="eastAsia" w:ascii="宋体" w:hAnsi="宋体" w:eastAsia="宋体"/>
          <w:color w:val="auto"/>
          <w:sz w:val="21"/>
          <w:szCs w:val="21"/>
          <w:highlight w:val="none"/>
        </w:rPr>
        <w:t>1、一般要求：</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（1）须符合《中华人民共和国政府采购法》第二十二条规定（需提供书面承诺）；</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（2）参加采购活动前三年内，在经营活动中没有重大违法记录（须提供书面声明）；</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3）本项目接受联合体投标；投标人的单位负责人为同一人或者存在直接控股、管理关系的不同投标人，不得参加同一合同项下的政府采购活动。为本项目提供整体设计、规范编制或者项目管理、监理、检测等服务的投标人，不得参加本采购项目的采购活动； </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（4）未被列入“信用中国”网站(www.creditchina.gov.cn )“记录失信被执行人或重大税收违法案件当事人名单或政府采购严重违法失信行为”记录名单；不处于中国政府采购网(www.ccgp.gov.cn )“政府采购严重违法失</w:t>
      </w:r>
      <w:bookmarkStart w:id="232" w:name="_GoBack"/>
      <w:bookmarkEnd w:id="232"/>
      <w:r>
        <w:rPr>
          <w:rFonts w:hint="eastAsia" w:ascii="宋体" w:hAnsi="宋体" w:eastAsia="宋体"/>
          <w:color w:val="auto"/>
          <w:sz w:val="21"/>
          <w:szCs w:val="21"/>
          <w:highlight w:val="none"/>
        </w:rPr>
        <w:t>信行为信息记录”中的禁止参加政府采购活动期间。以代理机构于投标截止日当天在“信用中国”网站及中国政府采购网查询结果为准，如相关失信记录已失效，投标人需提供相关证明资料。</w:t>
      </w:r>
    </w:p>
    <w:p>
      <w:pPr>
        <w:spacing w:after="0" w:line="360" w:lineRule="auto"/>
        <w:ind w:firstLine="411" w:firstLineChars="196"/>
        <w:rPr>
          <w:rFonts w:ascii="宋体" w:hAnsi="宋体" w:eastAsia="宋体"/>
          <w:color w:val="auto"/>
          <w:sz w:val="21"/>
          <w:szCs w:val="21"/>
          <w:highlight w:val="none"/>
        </w:rPr>
      </w:pPr>
      <w:r>
        <w:rPr>
          <w:rFonts w:hint="eastAsia" w:ascii="宋体" w:hAnsi="宋体" w:eastAsia="宋体"/>
          <w:color w:val="auto"/>
          <w:sz w:val="21"/>
          <w:szCs w:val="21"/>
          <w:highlight w:val="none"/>
        </w:rPr>
        <w:t>2、特殊要求：</w:t>
      </w:r>
    </w:p>
    <w:p>
      <w:pPr>
        <w:spacing w:after="0" w:line="360" w:lineRule="auto"/>
        <w:ind w:firstLine="420" w:firstLineChars="200"/>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(1)</w:t>
      </w:r>
      <w:r>
        <w:rPr>
          <w:rFonts w:hint="eastAsia" w:ascii="宋体" w:hAnsi="宋体" w:eastAsia="宋体"/>
          <w:color w:val="auto"/>
          <w:sz w:val="21"/>
          <w:szCs w:val="21"/>
          <w:highlight w:val="none"/>
        </w:rPr>
        <w:t>具备工程勘察综合甲级资质（或同时具备工程勘察专业类岩土工程乙级（或以上）和工程测量乙级（或以上）资质）；</w:t>
      </w:r>
    </w:p>
    <w:p>
      <w:pPr>
        <w:spacing w:after="0" w:line="360" w:lineRule="auto"/>
        <w:ind w:firstLine="420" w:firstLineChars="200"/>
        <w:rPr>
          <w:rFonts w:hint="eastAsia"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(2)</w:t>
      </w:r>
      <w:r>
        <w:rPr>
          <w:rFonts w:hint="eastAsia" w:ascii="宋体" w:hAnsi="宋体" w:eastAsia="宋体"/>
          <w:color w:val="auto"/>
          <w:sz w:val="21"/>
          <w:szCs w:val="21"/>
          <w:highlight w:val="none"/>
        </w:rPr>
        <w:t>具有省级或以上人民政府计量行政部门颁发的CMA计量认证证书且在认证期以内(证书涵盖CCTV管道电视检测参数)；</w:t>
      </w:r>
    </w:p>
    <w:p>
      <w:pPr>
        <w:spacing w:after="0" w:line="360" w:lineRule="auto"/>
        <w:ind w:firstLine="413" w:firstLineChars="196"/>
        <w:rPr>
          <w:rFonts w:hint="eastAsia" w:ascii="宋体" w:hAnsi="宋体" w:eastAsia="宋体"/>
          <w:b/>
          <w:color w:val="auto"/>
          <w:sz w:val="21"/>
          <w:szCs w:val="21"/>
          <w:highlight w:val="none"/>
        </w:rPr>
      </w:pPr>
    </w:p>
    <w:p>
      <w:pPr>
        <w:spacing w:after="0" w:line="360" w:lineRule="auto"/>
        <w:ind w:firstLine="413" w:firstLineChars="196"/>
        <w:rPr>
          <w:rFonts w:ascii="宋体" w:hAnsi="宋体" w:eastAsia="宋体"/>
          <w:b/>
          <w:color w:val="auto"/>
          <w:sz w:val="21"/>
          <w:szCs w:val="21"/>
          <w:highlight w:val="none"/>
        </w:rPr>
      </w:pPr>
      <w:r>
        <w:rPr>
          <w:rFonts w:hint="eastAsia" w:ascii="宋体" w:hAnsi="宋体" w:eastAsia="宋体"/>
          <w:b/>
          <w:color w:val="auto"/>
          <w:sz w:val="21"/>
          <w:szCs w:val="21"/>
          <w:highlight w:val="none"/>
        </w:rPr>
        <w:t>三、项目公示时间、</w:t>
      </w:r>
      <w:r>
        <w:rPr>
          <w:rFonts w:hint="eastAsia" w:ascii="宋体" w:hAnsi="宋体" w:eastAsia="宋体"/>
          <w:b/>
          <w:color w:val="auto"/>
          <w:sz w:val="21"/>
          <w:szCs w:val="21"/>
          <w:highlight w:val="none"/>
          <w:lang w:eastAsia="zh-CN"/>
        </w:rPr>
        <w:t>招标文件领购</w:t>
      </w:r>
      <w:r>
        <w:rPr>
          <w:rFonts w:hint="eastAsia" w:ascii="宋体" w:hAnsi="宋体" w:eastAsia="宋体"/>
          <w:b/>
          <w:color w:val="auto"/>
          <w:sz w:val="21"/>
          <w:szCs w:val="21"/>
          <w:highlight w:val="none"/>
        </w:rPr>
        <w:t>时间、地点、方式</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1、项目公示时间：</w:t>
      </w:r>
      <w:r>
        <w:rPr>
          <w:rFonts w:hint="eastAsia" w:ascii="宋体" w:hAnsi="宋体" w:eastAsia="宋体"/>
          <w:color w:val="auto"/>
          <w:sz w:val="21"/>
          <w:szCs w:val="21"/>
          <w:highlight w:val="none"/>
          <w:lang w:eastAsia="zh-CN"/>
        </w:rPr>
        <w:t>2020</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2</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17</w:t>
      </w:r>
      <w:r>
        <w:rPr>
          <w:rFonts w:hint="eastAsia" w:ascii="宋体" w:hAnsi="宋体" w:eastAsia="宋体"/>
          <w:color w:val="auto"/>
          <w:sz w:val="21"/>
          <w:szCs w:val="21"/>
          <w:highlight w:val="none"/>
        </w:rPr>
        <w:t>日起至20</w:t>
      </w:r>
      <w:r>
        <w:rPr>
          <w:rFonts w:hint="eastAsia" w:ascii="宋体" w:hAnsi="宋体" w:eastAsia="宋体"/>
          <w:color w:val="auto"/>
          <w:sz w:val="21"/>
          <w:szCs w:val="21"/>
          <w:highlight w:val="none"/>
          <w:lang w:val="en-US" w:eastAsia="zh-CN"/>
        </w:rPr>
        <w:t>20</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2</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24</w:t>
      </w:r>
      <w:r>
        <w:rPr>
          <w:rFonts w:hint="eastAsia" w:ascii="宋体" w:hAnsi="宋体" w:eastAsia="宋体"/>
          <w:color w:val="auto"/>
          <w:sz w:val="21"/>
          <w:szCs w:val="21"/>
          <w:highlight w:val="none"/>
        </w:rPr>
        <w:t>日。</w:t>
      </w:r>
    </w:p>
    <w:p>
      <w:pPr>
        <w:spacing w:after="0" w:line="360" w:lineRule="auto"/>
        <w:ind w:firstLine="420" w:firstLineChars="20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eastAsia="zh-CN"/>
        </w:rPr>
        <w:t>招标文件领购</w:t>
      </w:r>
      <w:r>
        <w:rPr>
          <w:rFonts w:ascii="宋体" w:hAnsi="宋体" w:eastAsia="宋体"/>
          <w:color w:val="auto"/>
          <w:sz w:val="21"/>
          <w:szCs w:val="21"/>
          <w:highlight w:val="none"/>
        </w:rPr>
        <w:t>时间：</w:t>
      </w:r>
      <w:r>
        <w:rPr>
          <w:rFonts w:hint="eastAsia" w:ascii="宋体" w:hAnsi="宋体" w:eastAsia="宋体"/>
          <w:color w:val="auto"/>
          <w:sz w:val="21"/>
          <w:szCs w:val="21"/>
          <w:highlight w:val="none"/>
          <w:lang w:eastAsia="zh-CN"/>
        </w:rPr>
        <w:t>2020</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2</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17</w:t>
      </w:r>
      <w:r>
        <w:rPr>
          <w:rFonts w:hint="eastAsia" w:ascii="宋体" w:hAnsi="宋体" w:eastAsia="宋体"/>
          <w:color w:val="auto"/>
          <w:sz w:val="21"/>
          <w:szCs w:val="21"/>
          <w:highlight w:val="none"/>
        </w:rPr>
        <w:t>日起至20</w:t>
      </w:r>
      <w:r>
        <w:rPr>
          <w:rFonts w:hint="eastAsia" w:ascii="宋体" w:hAnsi="宋体" w:eastAsia="宋体"/>
          <w:color w:val="auto"/>
          <w:sz w:val="21"/>
          <w:szCs w:val="21"/>
          <w:highlight w:val="none"/>
          <w:lang w:val="en-US" w:eastAsia="zh-CN"/>
        </w:rPr>
        <w:t>20</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日（节假日除外），上午9：00～12：00，下午14：</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0～17：</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 xml:space="preserve">0（北京时间）。 </w:t>
      </w:r>
    </w:p>
    <w:p>
      <w:pPr>
        <w:spacing w:after="0" w:line="360" w:lineRule="auto"/>
        <w:ind w:firstLine="420" w:firstLineChars="200"/>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注：（1）投标人可自行打印招标文件中的“附件23 获取招标文件登记表”进行填写并带到现场进行领购，并现场领取发票。（免费领购招标文件）</w:t>
      </w:r>
    </w:p>
    <w:p>
      <w:pPr>
        <w:spacing w:after="0" w:line="360" w:lineRule="auto"/>
        <w:ind w:firstLine="420" w:firstLineChars="200"/>
        <w:rPr>
          <w:color w:val="auto"/>
          <w:highlight w:val="none"/>
        </w:rPr>
      </w:pPr>
      <w:r>
        <w:rPr>
          <w:rFonts w:hint="eastAsia" w:ascii="宋体" w:hAnsi="宋体" w:eastAsia="宋体"/>
          <w:color w:val="auto"/>
          <w:sz w:val="21"/>
          <w:szCs w:val="21"/>
          <w:highlight w:val="none"/>
          <w:lang w:val="en-US" w:eastAsia="zh-CN"/>
        </w:rPr>
        <w:t>（2）招标文件电子版可在东莞市政府采购网（http://czj.dg.gov.cn/dggp/）或广东省政府采购网（http://www.gdgpo.gov.cn）相关招标信息公告下自行下载。</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w:t>
      </w:r>
      <w:r>
        <w:rPr>
          <w:rFonts w:hint="eastAsia" w:ascii="宋体" w:hAnsi="宋体" w:eastAsia="宋体"/>
          <w:color w:val="auto"/>
          <w:sz w:val="21"/>
          <w:szCs w:val="21"/>
          <w:highlight w:val="none"/>
          <w:lang w:eastAsia="zh-CN"/>
        </w:rPr>
        <w:t>招标文件领购</w:t>
      </w:r>
      <w:r>
        <w:rPr>
          <w:rFonts w:hint="eastAsia" w:ascii="宋体" w:hAnsi="宋体" w:eastAsia="宋体"/>
          <w:color w:val="auto"/>
          <w:sz w:val="21"/>
          <w:szCs w:val="21"/>
          <w:highlight w:val="none"/>
        </w:rPr>
        <w:t>地点：东莞市南城街道鸿福西路81号国际商会大厦706室。</w:t>
      </w:r>
    </w:p>
    <w:p>
      <w:pPr>
        <w:spacing w:after="0"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联系人：</w:t>
      </w:r>
      <w:r>
        <w:rPr>
          <w:rFonts w:hint="eastAsia" w:ascii="宋体" w:hAnsi="宋体" w:eastAsia="宋体"/>
          <w:color w:val="auto"/>
          <w:sz w:val="21"/>
          <w:szCs w:val="21"/>
          <w:highlight w:val="none"/>
          <w:lang w:eastAsia="zh-CN"/>
        </w:rPr>
        <w:t>黄雯静</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联系电话：0769-21682660</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4、</w:t>
      </w:r>
      <w:r>
        <w:rPr>
          <w:rFonts w:hint="eastAsia" w:ascii="宋体" w:hAnsi="宋体" w:eastAsia="宋体"/>
          <w:color w:val="auto"/>
          <w:sz w:val="21"/>
          <w:szCs w:val="21"/>
          <w:highlight w:val="none"/>
          <w:lang w:eastAsia="zh-CN"/>
        </w:rPr>
        <w:t>招标文件领购</w:t>
      </w:r>
      <w:r>
        <w:rPr>
          <w:rFonts w:hint="eastAsia" w:ascii="宋体" w:hAnsi="宋体" w:eastAsia="宋体"/>
          <w:color w:val="auto"/>
          <w:sz w:val="21"/>
          <w:szCs w:val="21"/>
          <w:highlight w:val="none"/>
        </w:rPr>
        <w:t>方式：现场</w:t>
      </w:r>
      <w:r>
        <w:rPr>
          <w:rFonts w:hint="eastAsia" w:ascii="宋体" w:hAnsi="宋体" w:eastAsia="宋体"/>
          <w:color w:val="auto"/>
          <w:sz w:val="21"/>
          <w:szCs w:val="21"/>
          <w:highlight w:val="none"/>
          <w:lang w:eastAsia="zh-CN"/>
        </w:rPr>
        <w:t>领购</w:t>
      </w:r>
      <w:r>
        <w:rPr>
          <w:rFonts w:hint="eastAsia" w:ascii="宋体" w:hAnsi="宋体" w:eastAsia="宋体"/>
          <w:color w:val="auto"/>
          <w:sz w:val="21"/>
          <w:szCs w:val="21"/>
          <w:highlight w:val="none"/>
        </w:rPr>
        <w:t>。</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投标人在</w:t>
      </w:r>
      <w:r>
        <w:rPr>
          <w:rFonts w:hint="eastAsia" w:ascii="宋体" w:hAnsi="宋体" w:eastAsia="宋体"/>
          <w:color w:val="auto"/>
          <w:sz w:val="21"/>
          <w:szCs w:val="21"/>
          <w:highlight w:val="none"/>
          <w:lang w:eastAsia="zh-CN"/>
        </w:rPr>
        <w:t>领购</w:t>
      </w:r>
      <w:r>
        <w:rPr>
          <w:rFonts w:hint="eastAsia" w:ascii="宋体" w:hAnsi="宋体" w:eastAsia="宋体"/>
          <w:color w:val="auto"/>
          <w:sz w:val="21"/>
          <w:szCs w:val="21"/>
          <w:highlight w:val="none"/>
        </w:rPr>
        <w:t>招标文件时须提供如下证明材料：《营业执照》复印件（加盖公章）或《事业单位法人证书》复印件（加盖公章）或其他主体证书复印件（加盖公章）</w:t>
      </w:r>
      <w:r>
        <w:rPr>
          <w:rFonts w:hint="eastAsia" w:ascii="宋体" w:hAnsi="宋体" w:eastAsia="宋体"/>
          <w:color w:val="auto"/>
          <w:sz w:val="21"/>
          <w:szCs w:val="21"/>
          <w:highlight w:val="none"/>
          <w:lang w:eastAsia="zh-CN"/>
        </w:rPr>
        <w:t>，自然人参加投标须提供自然人的身份证明材料</w:t>
      </w:r>
      <w:r>
        <w:rPr>
          <w:rFonts w:hint="eastAsia" w:ascii="宋体" w:hAnsi="宋体" w:eastAsia="宋体"/>
          <w:color w:val="auto"/>
          <w:sz w:val="21"/>
          <w:szCs w:val="21"/>
          <w:highlight w:val="none"/>
        </w:rPr>
        <w:t>；</w:t>
      </w:r>
    </w:p>
    <w:p>
      <w:pPr>
        <w:spacing w:after="0" w:line="360" w:lineRule="auto"/>
        <w:ind w:firstLine="420" w:firstLineChars="200"/>
        <w:rPr>
          <w:color w:val="auto"/>
          <w:highlight w:val="none"/>
        </w:rPr>
      </w:pPr>
      <w:r>
        <w:rPr>
          <w:rFonts w:hint="eastAsia" w:ascii="宋体" w:hAnsi="宋体" w:eastAsia="宋体"/>
          <w:color w:val="auto"/>
          <w:sz w:val="21"/>
          <w:szCs w:val="21"/>
          <w:highlight w:val="none"/>
          <w:lang w:val="en-US" w:eastAsia="zh-CN"/>
        </w:rPr>
        <w:t>注：凡参与东莞市政府采购活动的供应商，应通过东莞市政府采购网（http://czj.dg.gov.cn/dggp/）或东莞市公共资源交易网（http://ggzy.dg.gov.cn）进行建档入库，已在市公共资源交易中心入库（企业身份为“政府采购类”）的除外。入库路径：1.东莞市政府采购网-供应商注册；2.东莞市公共资源交易网-企业信息登记-公共资源交易企业库。各供应商在入库过程中遇到问题的，请及时与市公共资源交易中心联系。入库信息管理联系人：杨琳,联系电话：0769-28330677，系统技术人员联系电话：0769-28330604。</w:t>
      </w:r>
    </w:p>
    <w:p>
      <w:pPr>
        <w:spacing w:after="0" w:line="360" w:lineRule="auto"/>
        <w:ind w:firstLine="411" w:firstLineChars="196"/>
        <w:rPr>
          <w:rFonts w:ascii="宋体" w:hAnsi="宋体" w:eastAsia="宋体"/>
          <w:color w:val="auto"/>
          <w:sz w:val="21"/>
          <w:szCs w:val="21"/>
          <w:highlight w:val="none"/>
        </w:rPr>
      </w:pPr>
    </w:p>
    <w:p>
      <w:pPr>
        <w:spacing w:after="0" w:line="360" w:lineRule="auto"/>
        <w:ind w:firstLine="413" w:firstLineChars="196"/>
        <w:rPr>
          <w:rFonts w:ascii="宋体" w:hAnsi="宋体" w:eastAsia="宋体"/>
          <w:b/>
          <w:color w:val="auto"/>
          <w:sz w:val="21"/>
          <w:szCs w:val="21"/>
          <w:highlight w:val="none"/>
        </w:rPr>
      </w:pPr>
      <w:r>
        <w:rPr>
          <w:rFonts w:hint="eastAsia" w:ascii="宋体" w:hAnsi="宋体" w:eastAsia="宋体"/>
          <w:b/>
          <w:color w:val="auto"/>
          <w:sz w:val="21"/>
          <w:szCs w:val="21"/>
          <w:highlight w:val="none"/>
        </w:rPr>
        <w:t>四、投标截止时间、开标时间及地点</w:t>
      </w:r>
    </w:p>
    <w:p>
      <w:pPr>
        <w:spacing w:after="0" w:line="360" w:lineRule="auto"/>
        <w:ind w:firstLine="420" w:firstLineChars="200"/>
        <w:rPr>
          <w:rFonts w:ascii="宋体" w:hAnsi="宋体" w:eastAsia="宋体"/>
          <w:bCs/>
          <w:color w:val="auto"/>
          <w:sz w:val="21"/>
          <w:szCs w:val="21"/>
          <w:highlight w:val="none"/>
        </w:rPr>
      </w:pPr>
      <w:r>
        <w:rPr>
          <w:rFonts w:hint="eastAsia" w:ascii="宋体" w:hAnsi="宋体" w:eastAsia="宋体"/>
          <w:bCs/>
          <w:color w:val="auto"/>
          <w:sz w:val="21"/>
          <w:szCs w:val="21"/>
          <w:highlight w:val="none"/>
        </w:rPr>
        <w:t>1、递交投标文件时间：20</w:t>
      </w:r>
      <w:r>
        <w:rPr>
          <w:rFonts w:hint="eastAsia" w:ascii="宋体" w:hAnsi="宋体" w:eastAsia="宋体"/>
          <w:bCs/>
          <w:color w:val="auto"/>
          <w:sz w:val="21"/>
          <w:szCs w:val="21"/>
          <w:highlight w:val="none"/>
          <w:lang w:val="en-US" w:eastAsia="zh-CN"/>
        </w:rPr>
        <w:t>20</w:t>
      </w:r>
      <w:r>
        <w:rPr>
          <w:rFonts w:hint="eastAsia" w:ascii="宋体" w:hAnsi="宋体" w:eastAsia="宋体"/>
          <w:bCs/>
          <w:color w:val="auto"/>
          <w:sz w:val="21"/>
          <w:szCs w:val="21"/>
          <w:highlight w:val="none"/>
        </w:rPr>
        <w:t>年</w:t>
      </w:r>
      <w:r>
        <w:rPr>
          <w:rFonts w:hint="eastAsia" w:ascii="宋体" w:hAnsi="宋体" w:eastAsia="宋体"/>
          <w:bCs/>
          <w:color w:val="auto"/>
          <w:sz w:val="21"/>
          <w:szCs w:val="21"/>
          <w:highlight w:val="none"/>
          <w:lang w:val="en-US" w:eastAsia="zh-CN"/>
        </w:rPr>
        <w:t>3</w:t>
      </w:r>
      <w:r>
        <w:rPr>
          <w:rFonts w:hint="eastAsia" w:ascii="宋体" w:hAnsi="宋体" w:eastAsia="宋体"/>
          <w:bCs/>
          <w:color w:val="auto"/>
          <w:sz w:val="21"/>
          <w:szCs w:val="21"/>
          <w:highlight w:val="none"/>
        </w:rPr>
        <w:t>月</w:t>
      </w:r>
      <w:r>
        <w:rPr>
          <w:rFonts w:hint="eastAsia" w:ascii="宋体" w:hAnsi="宋体" w:eastAsia="宋体"/>
          <w:bCs/>
          <w:color w:val="auto"/>
          <w:sz w:val="21"/>
          <w:szCs w:val="21"/>
          <w:highlight w:val="none"/>
          <w:lang w:val="en-US" w:eastAsia="zh-CN"/>
        </w:rPr>
        <w:t>10</w:t>
      </w:r>
      <w:r>
        <w:rPr>
          <w:rFonts w:hint="eastAsia" w:ascii="宋体" w:hAnsi="宋体" w:eastAsia="宋体"/>
          <w:bCs/>
          <w:color w:val="auto"/>
          <w:sz w:val="21"/>
          <w:szCs w:val="21"/>
          <w:highlight w:val="none"/>
        </w:rPr>
        <w:t>日</w:t>
      </w:r>
      <w:r>
        <w:rPr>
          <w:rFonts w:hint="eastAsia" w:ascii="宋体" w:hAnsi="宋体" w:eastAsia="宋体"/>
          <w:bCs/>
          <w:color w:val="auto"/>
          <w:sz w:val="21"/>
          <w:szCs w:val="21"/>
          <w:highlight w:val="none"/>
          <w:lang w:eastAsia="zh-CN"/>
        </w:rPr>
        <w:t>下</w:t>
      </w:r>
      <w:r>
        <w:rPr>
          <w:rFonts w:hint="eastAsia" w:ascii="宋体" w:hAnsi="宋体" w:eastAsia="宋体"/>
          <w:bCs/>
          <w:color w:val="auto"/>
          <w:sz w:val="21"/>
          <w:szCs w:val="21"/>
          <w:highlight w:val="none"/>
        </w:rPr>
        <w:t>午</w:t>
      </w:r>
      <w:r>
        <w:rPr>
          <w:rFonts w:hint="eastAsia" w:ascii="宋体" w:hAnsi="宋体" w:eastAsia="宋体"/>
          <w:bCs/>
          <w:color w:val="auto"/>
          <w:sz w:val="21"/>
          <w:szCs w:val="21"/>
          <w:highlight w:val="none"/>
          <w:lang w:val="en-US" w:eastAsia="zh-CN"/>
        </w:rPr>
        <w:t>14</w:t>
      </w:r>
      <w:r>
        <w:rPr>
          <w:rFonts w:hint="eastAsia" w:ascii="宋体" w:hAnsi="宋体" w:eastAsia="宋体"/>
          <w:bCs/>
          <w:color w:val="auto"/>
          <w:sz w:val="21"/>
          <w:szCs w:val="21"/>
          <w:highlight w:val="none"/>
        </w:rPr>
        <w:t>：00～9：30。</w:t>
      </w:r>
    </w:p>
    <w:p>
      <w:pPr>
        <w:spacing w:after="0" w:line="360" w:lineRule="auto"/>
        <w:ind w:firstLine="420" w:firstLineChars="200"/>
        <w:rPr>
          <w:rFonts w:ascii="宋体" w:hAnsi="宋体" w:eastAsia="宋体"/>
          <w:bCs/>
          <w:color w:val="auto"/>
          <w:sz w:val="21"/>
          <w:szCs w:val="21"/>
          <w:highlight w:val="none"/>
        </w:rPr>
      </w:pPr>
      <w:r>
        <w:rPr>
          <w:rFonts w:hint="eastAsia" w:ascii="宋体" w:hAnsi="宋体" w:eastAsia="宋体"/>
          <w:bCs/>
          <w:color w:val="auto"/>
          <w:sz w:val="21"/>
          <w:szCs w:val="21"/>
          <w:highlight w:val="none"/>
        </w:rPr>
        <w:t>2、</w:t>
      </w:r>
      <w:r>
        <w:rPr>
          <w:rFonts w:ascii="宋体" w:hAnsi="宋体" w:eastAsia="宋体"/>
          <w:bCs/>
          <w:color w:val="auto"/>
          <w:sz w:val="21"/>
          <w:szCs w:val="21"/>
          <w:highlight w:val="none"/>
        </w:rPr>
        <w:t>投标截止</w:t>
      </w:r>
      <w:r>
        <w:rPr>
          <w:rFonts w:hint="eastAsia" w:ascii="宋体" w:hAnsi="宋体" w:eastAsia="宋体"/>
          <w:bCs/>
          <w:color w:val="auto"/>
          <w:sz w:val="21"/>
          <w:szCs w:val="21"/>
          <w:highlight w:val="none"/>
        </w:rPr>
        <w:t>及开标时间：20</w:t>
      </w:r>
      <w:r>
        <w:rPr>
          <w:rFonts w:hint="eastAsia" w:ascii="宋体" w:hAnsi="宋体" w:eastAsia="宋体"/>
          <w:bCs/>
          <w:color w:val="auto"/>
          <w:sz w:val="21"/>
          <w:szCs w:val="21"/>
          <w:highlight w:val="none"/>
          <w:lang w:val="en-US" w:eastAsia="zh-CN"/>
        </w:rPr>
        <w:t>20</w:t>
      </w:r>
      <w:r>
        <w:rPr>
          <w:rFonts w:hint="eastAsia" w:ascii="宋体" w:hAnsi="宋体" w:eastAsia="宋体"/>
          <w:bCs/>
          <w:color w:val="auto"/>
          <w:sz w:val="21"/>
          <w:szCs w:val="21"/>
          <w:highlight w:val="none"/>
        </w:rPr>
        <w:t>年</w:t>
      </w:r>
      <w:r>
        <w:rPr>
          <w:rFonts w:hint="eastAsia" w:ascii="宋体" w:hAnsi="宋体" w:eastAsia="宋体"/>
          <w:bCs/>
          <w:color w:val="auto"/>
          <w:sz w:val="21"/>
          <w:szCs w:val="21"/>
          <w:highlight w:val="none"/>
          <w:lang w:val="en-US" w:eastAsia="zh-CN"/>
        </w:rPr>
        <w:t>3</w:t>
      </w:r>
      <w:r>
        <w:rPr>
          <w:rFonts w:hint="eastAsia" w:ascii="宋体" w:hAnsi="宋体" w:eastAsia="宋体"/>
          <w:bCs/>
          <w:color w:val="auto"/>
          <w:sz w:val="21"/>
          <w:szCs w:val="21"/>
          <w:highlight w:val="none"/>
        </w:rPr>
        <w:t>月</w:t>
      </w:r>
      <w:r>
        <w:rPr>
          <w:rFonts w:hint="eastAsia" w:ascii="宋体" w:hAnsi="宋体" w:eastAsia="宋体"/>
          <w:bCs/>
          <w:color w:val="auto"/>
          <w:sz w:val="21"/>
          <w:szCs w:val="21"/>
          <w:highlight w:val="none"/>
          <w:lang w:val="en-US" w:eastAsia="zh-CN"/>
        </w:rPr>
        <w:t>10</w:t>
      </w:r>
      <w:r>
        <w:rPr>
          <w:rFonts w:hint="eastAsia" w:ascii="宋体" w:hAnsi="宋体" w:eastAsia="宋体"/>
          <w:bCs/>
          <w:color w:val="auto"/>
          <w:sz w:val="21"/>
          <w:szCs w:val="21"/>
          <w:highlight w:val="none"/>
        </w:rPr>
        <w:t>日</w:t>
      </w:r>
      <w:r>
        <w:rPr>
          <w:rFonts w:hint="eastAsia" w:ascii="宋体" w:hAnsi="宋体" w:eastAsia="宋体"/>
          <w:bCs/>
          <w:color w:val="auto"/>
          <w:sz w:val="21"/>
          <w:szCs w:val="21"/>
          <w:highlight w:val="none"/>
          <w:lang w:eastAsia="zh-CN"/>
        </w:rPr>
        <w:t>下</w:t>
      </w:r>
      <w:r>
        <w:rPr>
          <w:rFonts w:hint="eastAsia" w:ascii="宋体" w:hAnsi="宋体" w:eastAsia="宋体"/>
          <w:bCs/>
          <w:color w:val="auto"/>
          <w:sz w:val="21"/>
          <w:szCs w:val="21"/>
          <w:highlight w:val="none"/>
        </w:rPr>
        <w:t>午</w:t>
      </w:r>
      <w:r>
        <w:rPr>
          <w:rFonts w:hint="eastAsia" w:ascii="宋体" w:hAnsi="宋体" w:eastAsia="宋体"/>
          <w:bCs/>
          <w:color w:val="auto"/>
          <w:sz w:val="21"/>
          <w:szCs w:val="21"/>
          <w:highlight w:val="none"/>
          <w:lang w:val="en-US" w:eastAsia="zh-CN"/>
        </w:rPr>
        <w:t>14</w:t>
      </w:r>
      <w:r>
        <w:rPr>
          <w:rFonts w:hint="eastAsia" w:ascii="宋体" w:hAnsi="宋体" w:eastAsia="宋体"/>
          <w:bCs/>
          <w:color w:val="auto"/>
          <w:sz w:val="21"/>
          <w:szCs w:val="21"/>
          <w:highlight w:val="none"/>
        </w:rPr>
        <w:t>时30分。</w:t>
      </w:r>
    </w:p>
    <w:p>
      <w:pPr>
        <w:spacing w:after="0" w:line="360" w:lineRule="auto"/>
        <w:ind w:firstLine="420" w:firstLineChars="200"/>
        <w:rPr>
          <w:rFonts w:ascii="宋体" w:hAnsi="宋体" w:eastAsia="宋体"/>
          <w:bCs/>
          <w:color w:val="auto"/>
          <w:sz w:val="21"/>
          <w:szCs w:val="21"/>
          <w:highlight w:val="none"/>
        </w:rPr>
      </w:pPr>
      <w:r>
        <w:rPr>
          <w:rFonts w:hint="eastAsia" w:ascii="宋体" w:hAnsi="宋体" w:eastAsia="宋体"/>
          <w:bCs/>
          <w:color w:val="auto"/>
          <w:sz w:val="21"/>
          <w:szCs w:val="21"/>
          <w:highlight w:val="none"/>
        </w:rPr>
        <w:t>3、</w:t>
      </w:r>
      <w:r>
        <w:rPr>
          <w:rFonts w:ascii="宋体" w:hAnsi="宋体" w:eastAsia="宋体"/>
          <w:bCs/>
          <w:color w:val="auto"/>
          <w:sz w:val="21"/>
          <w:szCs w:val="21"/>
          <w:highlight w:val="none"/>
        </w:rPr>
        <w:t>开标地点：</w:t>
      </w:r>
      <w:r>
        <w:rPr>
          <w:rFonts w:hint="eastAsia" w:ascii="宋体" w:hAnsi="宋体" w:eastAsia="宋体"/>
          <w:color w:val="auto"/>
          <w:sz w:val="21"/>
          <w:szCs w:val="21"/>
          <w:highlight w:val="none"/>
        </w:rPr>
        <w:t>东莞市南城街道鸿福西路81号国际商会大厦601室</w:t>
      </w:r>
      <w:r>
        <w:rPr>
          <w:rFonts w:hint="eastAsia" w:ascii="宋体" w:hAnsi="宋体" w:eastAsia="宋体"/>
          <w:bCs/>
          <w:color w:val="auto"/>
          <w:sz w:val="21"/>
          <w:szCs w:val="21"/>
          <w:highlight w:val="none"/>
        </w:rPr>
        <w:t>。</w:t>
      </w:r>
    </w:p>
    <w:p>
      <w:pPr>
        <w:spacing w:after="0" w:line="360" w:lineRule="auto"/>
        <w:ind w:firstLine="411" w:firstLineChars="196"/>
        <w:rPr>
          <w:rFonts w:ascii="宋体" w:hAnsi="宋体" w:eastAsia="宋体"/>
          <w:bCs/>
          <w:color w:val="auto"/>
          <w:sz w:val="21"/>
          <w:szCs w:val="21"/>
          <w:highlight w:val="none"/>
        </w:rPr>
      </w:pPr>
    </w:p>
    <w:p>
      <w:pPr>
        <w:spacing w:after="0" w:line="360" w:lineRule="auto"/>
        <w:ind w:firstLine="413" w:firstLineChars="196"/>
        <w:rPr>
          <w:rFonts w:ascii="宋体" w:hAnsi="宋体" w:eastAsia="宋体"/>
          <w:bCs/>
          <w:color w:val="auto"/>
          <w:sz w:val="21"/>
          <w:szCs w:val="21"/>
          <w:highlight w:val="none"/>
        </w:rPr>
      </w:pPr>
      <w:r>
        <w:rPr>
          <w:rFonts w:hint="eastAsia" w:ascii="宋体" w:hAnsi="宋体" w:eastAsia="宋体"/>
          <w:b/>
          <w:color w:val="auto"/>
          <w:sz w:val="21"/>
          <w:szCs w:val="21"/>
          <w:highlight w:val="none"/>
        </w:rPr>
        <w:t>五、采购人及采购代理机构的名称、地址和联系方法：</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采购人联系人：张志敏</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地址：东莞市大岭山镇综合办公楼八楼</w:t>
      </w:r>
    </w:p>
    <w:p>
      <w:pPr>
        <w:spacing w:after="0" w:line="360" w:lineRule="auto"/>
        <w:ind w:firstLine="420" w:firstLineChars="200"/>
        <w:rPr>
          <w:rFonts w:hint="eastAsia" w:ascii="宋体" w:hAnsi="宋体" w:eastAsia="宋体"/>
          <w:bCs/>
          <w:color w:val="auto"/>
          <w:sz w:val="21"/>
          <w:szCs w:val="21"/>
        </w:rPr>
      </w:pPr>
      <w:r>
        <w:rPr>
          <w:rFonts w:hint="eastAsia" w:ascii="宋体" w:hAnsi="宋体" w:eastAsia="宋体"/>
          <w:bCs/>
          <w:color w:val="auto"/>
          <w:sz w:val="21"/>
          <w:szCs w:val="21"/>
        </w:rPr>
        <w:t>联系电话：</w:t>
      </w:r>
      <w:r>
        <w:rPr>
          <w:rFonts w:hint="eastAsia" w:ascii="宋体" w:hAnsi="宋体" w:eastAsia="宋体"/>
          <w:color w:val="auto"/>
          <w:sz w:val="21"/>
          <w:szCs w:val="21"/>
        </w:rPr>
        <w:t>0769-</w:t>
      </w:r>
      <w:r>
        <w:rPr>
          <w:rFonts w:hint="eastAsia" w:ascii="宋体" w:hAnsi="宋体" w:eastAsia="宋体"/>
          <w:bCs/>
          <w:color w:val="auto"/>
          <w:sz w:val="21"/>
          <w:szCs w:val="21"/>
        </w:rPr>
        <w:t>82766218</w:t>
      </w:r>
    </w:p>
    <w:p>
      <w:pPr>
        <w:spacing w:after="0" w:line="360" w:lineRule="auto"/>
        <w:ind w:firstLine="420" w:firstLineChars="200"/>
        <w:rPr>
          <w:rFonts w:ascii="宋体" w:hAnsi="宋体" w:eastAsia="宋体"/>
          <w:color w:val="auto"/>
          <w:sz w:val="21"/>
          <w:szCs w:val="21"/>
          <w:highlight w:val="none"/>
        </w:rPr>
      </w:pP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采购代理机构名称：广东三方诚信招标有限公司东莞分公司</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地址：东莞市南城街道鸿福西路81号国际商会大厦706室。</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采购代理机构联系人：黄应奎</w:t>
      </w:r>
      <w:r>
        <w:rPr>
          <w:rFonts w:ascii="宋体" w:hAnsi="宋体" w:eastAsia="宋体"/>
          <w:color w:val="auto"/>
          <w:sz w:val="21"/>
          <w:szCs w:val="21"/>
          <w:highlight w:val="none"/>
        </w:rPr>
        <w:t xml:space="preserve"> </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联系电话：0769-21682660</w:t>
      </w:r>
    </w:p>
    <w:p>
      <w:pPr>
        <w:spacing w:after="0" w:line="360" w:lineRule="auto"/>
        <w:ind w:firstLine="420" w:firstLineChars="200"/>
        <w:rPr>
          <w:rFonts w:eastAsia="宋体"/>
          <w:color w:val="auto"/>
          <w:highlight w:val="none"/>
        </w:rPr>
      </w:pPr>
      <w:r>
        <w:rPr>
          <w:rFonts w:hint="eastAsia" w:ascii="宋体" w:hAnsi="宋体" w:eastAsia="宋体"/>
          <w:color w:val="auto"/>
          <w:sz w:val="21"/>
          <w:szCs w:val="21"/>
          <w:highlight w:val="none"/>
        </w:rPr>
        <w:t>E－ mail：49191135@qq.com</w:t>
      </w:r>
    </w:p>
    <w:p>
      <w:pPr>
        <w:rPr>
          <w:color w:val="auto"/>
          <w:highlight w:val="none"/>
        </w:rPr>
      </w:pPr>
    </w:p>
    <w:p>
      <w:pPr>
        <w:ind w:right="788" w:rightChars="358"/>
        <w:jc w:val="both"/>
        <w:rPr>
          <w:color w:val="auto"/>
          <w:highlight w:val="none"/>
        </w:rPr>
      </w:pPr>
    </w:p>
    <w:p>
      <w:pPr>
        <w:ind w:right="788" w:rightChars="358"/>
        <w:jc w:val="righ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广东三方诚信招标有限公司东莞分公司</w:t>
      </w:r>
    </w:p>
    <w:p>
      <w:pPr>
        <w:ind w:left="6481" w:leftChars="2755" w:hanging="420" w:hanging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二〇二〇年</w:t>
      </w:r>
      <w:r>
        <w:rPr>
          <w:rFonts w:hint="eastAsia" w:ascii="宋体" w:hAnsi="宋体" w:eastAsia="宋体" w:cs="宋体"/>
          <w:color w:val="auto"/>
          <w:sz w:val="21"/>
          <w:szCs w:val="21"/>
          <w:highlight w:val="none"/>
          <w:lang w:eastAsia="zh-CN"/>
        </w:rPr>
        <w:t>二</w:t>
      </w:r>
      <w:r>
        <w:rPr>
          <w:rFonts w:hint="eastAsia" w:ascii="宋体" w:hAnsi="宋体" w:eastAsia="宋体" w:cs="宋体"/>
          <w:color w:val="auto"/>
          <w:sz w:val="21"/>
          <w:szCs w:val="21"/>
          <w:highlight w:val="none"/>
        </w:rPr>
        <w:t>月</w:t>
      </w:r>
    </w:p>
    <w:p>
      <w:pPr>
        <w:ind w:left="6481" w:leftChars="2755" w:hanging="420" w:hangingChars="200"/>
        <w:rPr>
          <w:rFonts w:ascii="黑体" w:hAnsi="宋体" w:eastAsia="黑体"/>
          <w:color w:val="auto"/>
          <w:highlight w:val="none"/>
        </w:rPr>
      </w:pPr>
      <w:r>
        <w:rPr>
          <w:rFonts w:hint="eastAsia" w:ascii="宋体" w:hAnsi="宋体" w:eastAsia="宋体" w:cs="宋体"/>
          <w:color w:val="auto"/>
          <w:sz w:val="21"/>
          <w:szCs w:val="21"/>
          <w:highlight w:val="none"/>
        </w:rPr>
        <w:br w:type="page"/>
      </w:r>
    </w:p>
    <w:p>
      <w:pPr>
        <w:pStyle w:val="3"/>
        <w:spacing w:before="0" w:after="0" w:line="240" w:lineRule="auto"/>
        <w:rPr>
          <w:color w:val="auto"/>
          <w:sz w:val="28"/>
          <w:szCs w:val="28"/>
          <w:highlight w:val="none"/>
        </w:rPr>
      </w:pPr>
      <w:bookmarkStart w:id="1" w:name="_Toc14146"/>
      <w:r>
        <w:rPr>
          <w:rFonts w:hint="eastAsia"/>
          <w:color w:val="auto"/>
          <w:sz w:val="28"/>
          <w:szCs w:val="28"/>
          <w:highlight w:val="none"/>
        </w:rPr>
        <w:t>第二部分 相关资料表格</w:t>
      </w:r>
      <w:bookmarkEnd w:id="1"/>
    </w:p>
    <w:p>
      <w:pPr>
        <w:pStyle w:val="4"/>
        <w:spacing w:before="0" w:after="0" w:line="240" w:lineRule="auto"/>
        <w:jc w:val="center"/>
        <w:rPr>
          <w:rFonts w:ascii="宋体" w:hAnsi="宋体" w:eastAsia="宋体" w:cs="宋体"/>
          <w:color w:val="auto"/>
          <w:sz w:val="24"/>
          <w:szCs w:val="24"/>
          <w:highlight w:val="none"/>
        </w:rPr>
      </w:pPr>
      <w:bookmarkStart w:id="2" w:name="_Toc20683"/>
      <w:r>
        <w:rPr>
          <w:rFonts w:hint="eastAsia" w:ascii="宋体" w:hAnsi="宋体" w:eastAsia="宋体" w:cs="宋体"/>
          <w:color w:val="auto"/>
          <w:sz w:val="24"/>
          <w:szCs w:val="24"/>
          <w:highlight w:val="none"/>
        </w:rPr>
        <w:t>附表一：投标资料表</w:t>
      </w:r>
      <w:bookmarkEnd w:id="2"/>
    </w:p>
    <w:tbl>
      <w:tblPr>
        <w:tblStyle w:val="16"/>
        <w:tblW w:w="8410" w:type="dxa"/>
        <w:tblInd w:w="-24" w:type="dxa"/>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
      <w:tblGrid>
        <w:gridCol w:w="878"/>
        <w:gridCol w:w="2510"/>
        <w:gridCol w:w="98"/>
        <w:gridCol w:w="1158"/>
        <w:gridCol w:w="1254"/>
        <w:gridCol w:w="2512"/>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7532" w:type="dxa"/>
            <w:gridSpan w:val="5"/>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内</w:t>
            </w:r>
            <w:r>
              <w:rPr>
                <w:rFonts w:ascii="宋体" w:hAnsi="宋体" w:eastAsia="宋体"/>
                <w:b/>
                <w:color w:val="auto"/>
                <w:sz w:val="21"/>
                <w:szCs w:val="21"/>
                <w:highlight w:val="none"/>
              </w:rPr>
              <w:t xml:space="preserve">      </w:t>
            </w:r>
            <w:r>
              <w:rPr>
                <w:rFonts w:hint="eastAsia" w:ascii="宋体" w:hAnsi="宋体" w:eastAsia="宋体"/>
                <w:b/>
                <w:color w:val="auto"/>
                <w:sz w:val="21"/>
                <w:szCs w:val="21"/>
                <w:highlight w:val="none"/>
              </w:rPr>
              <w:t>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410" w:type="dxa"/>
            <w:gridSpan w:val="6"/>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一、说明</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w:t>
            </w:r>
          </w:p>
        </w:tc>
        <w:tc>
          <w:tcPr>
            <w:tcW w:w="7532" w:type="dxa"/>
            <w:gridSpan w:val="5"/>
            <w:vAlign w:val="center"/>
          </w:tcPr>
          <w:p>
            <w:pPr>
              <w:spacing w:after="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项目最高限价（单位：元）</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rPr>
                <w:rFonts w:ascii="宋体" w:hAnsi="宋体" w:eastAsia="宋体"/>
                <w:b/>
                <w:bCs/>
                <w:color w:val="auto"/>
                <w:sz w:val="21"/>
                <w:szCs w:val="21"/>
                <w:highlight w:val="none"/>
              </w:rPr>
            </w:pPr>
            <w:r>
              <w:rPr>
                <w:rFonts w:hint="eastAsia" w:ascii="宋体" w:hAnsi="宋体" w:eastAsia="宋体"/>
                <w:bCs/>
                <w:color w:val="auto"/>
                <w:sz w:val="21"/>
                <w:szCs w:val="21"/>
                <w:highlight w:val="none"/>
              </w:rPr>
              <w:t>与项目预算一致。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2</w:t>
            </w:r>
          </w:p>
        </w:tc>
        <w:tc>
          <w:tcPr>
            <w:tcW w:w="7532" w:type="dxa"/>
            <w:gridSpan w:val="5"/>
            <w:vAlign w:val="center"/>
          </w:tcPr>
          <w:p>
            <w:pPr>
              <w:spacing w:after="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资金来源</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rPr>
                <w:rFonts w:ascii="宋体" w:hAnsi="宋体" w:eastAsia="宋体"/>
                <w:b/>
                <w:bCs/>
                <w:color w:val="auto"/>
                <w:sz w:val="21"/>
                <w:szCs w:val="21"/>
                <w:highlight w:val="none"/>
              </w:rPr>
            </w:pPr>
            <w:r>
              <w:rPr>
                <w:rFonts w:hint="eastAsia" w:ascii="宋体" w:hAnsi="宋体" w:eastAsia="宋体"/>
                <w:color w:val="auto"/>
                <w:sz w:val="21"/>
                <w:szCs w:val="21"/>
                <w:highlight w:val="none"/>
              </w:rPr>
              <w:t>财政性资金。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3</w:t>
            </w:r>
          </w:p>
        </w:tc>
        <w:tc>
          <w:tcPr>
            <w:tcW w:w="7532" w:type="dxa"/>
            <w:gridSpan w:val="5"/>
            <w:vAlign w:val="center"/>
          </w:tcPr>
          <w:p>
            <w:pPr>
              <w:spacing w:after="0"/>
              <w:rPr>
                <w:rFonts w:ascii="宋体" w:hAnsi="宋体" w:eastAsia="宋体"/>
                <w:b/>
                <w:color w:val="auto"/>
                <w:sz w:val="21"/>
                <w:szCs w:val="21"/>
                <w:highlight w:val="none"/>
              </w:rPr>
            </w:pPr>
            <w:r>
              <w:rPr>
                <w:rFonts w:hint="eastAsia" w:ascii="宋体" w:hAnsi="宋体" w:eastAsia="宋体"/>
                <w:b/>
                <w:color w:val="auto"/>
                <w:sz w:val="21"/>
                <w:szCs w:val="21"/>
                <w:highlight w:val="none"/>
              </w:rPr>
              <w:t>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rPr>
                <w:rFonts w:ascii="宋体" w:hAnsi="宋体" w:eastAsia="宋体"/>
                <w:b/>
                <w:color w:val="auto"/>
                <w:sz w:val="21"/>
                <w:szCs w:val="21"/>
                <w:highlight w:val="none"/>
              </w:rPr>
            </w:pPr>
            <w:r>
              <w:rPr>
                <w:rFonts w:hint="eastAsia" w:ascii="宋体" w:hAnsi="宋体" w:eastAsia="宋体"/>
                <w:bCs/>
                <w:color w:val="auto"/>
                <w:sz w:val="21"/>
                <w:szCs w:val="21"/>
                <w:highlight w:val="none"/>
              </w:rPr>
              <w:t>本项目不组织踏勘现场。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4</w:t>
            </w:r>
          </w:p>
        </w:tc>
        <w:tc>
          <w:tcPr>
            <w:tcW w:w="7532" w:type="dxa"/>
            <w:gridSpan w:val="5"/>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招标信息发布网站</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510" w:type="dxa"/>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东莞市政府采购网</w:t>
            </w:r>
          </w:p>
        </w:tc>
        <w:tc>
          <w:tcPr>
            <w:tcW w:w="2510"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广东省政府采购网</w:t>
            </w:r>
          </w:p>
        </w:tc>
        <w:tc>
          <w:tcPr>
            <w:tcW w:w="2512" w:type="dxa"/>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510" w:type="dxa"/>
            <w:vAlign w:val="center"/>
          </w:tcPr>
          <w:p>
            <w:pPr>
              <w:spacing w:after="0"/>
              <w:jc w:val="center"/>
              <w:rPr>
                <w:rFonts w:ascii="宋体" w:hAnsi="宋体" w:eastAsia="宋体"/>
                <w:b/>
                <w:color w:val="auto"/>
                <w:sz w:val="21"/>
                <w:szCs w:val="21"/>
                <w:highlight w:val="none"/>
              </w:rPr>
            </w:pPr>
            <w:r>
              <w:rPr>
                <w:rFonts w:hint="eastAsia" w:ascii="宋体" w:hAnsi="宋体" w:eastAsia="宋体"/>
                <w:color w:val="auto"/>
                <w:sz w:val="21"/>
                <w:szCs w:val="21"/>
                <w:highlight w:val="none"/>
              </w:rPr>
              <w:t>http://czj.dg.gov.cn/dggp/</w:t>
            </w:r>
          </w:p>
        </w:tc>
        <w:tc>
          <w:tcPr>
            <w:tcW w:w="2510" w:type="dxa"/>
            <w:gridSpan w:val="3"/>
            <w:vAlign w:val="center"/>
          </w:tcPr>
          <w:p>
            <w:pPr>
              <w:spacing w:after="0"/>
              <w:jc w:val="center"/>
              <w:rPr>
                <w:rFonts w:ascii="宋体" w:hAnsi="宋体" w:eastAsia="宋体"/>
                <w:b/>
                <w:color w:val="auto"/>
                <w:sz w:val="21"/>
                <w:szCs w:val="21"/>
                <w:highlight w:val="none"/>
              </w:rPr>
            </w:pPr>
            <w:r>
              <w:rPr>
                <w:rFonts w:ascii="宋体" w:hAnsi="宋体" w:eastAsia="宋体"/>
                <w:color w:val="auto"/>
                <w:sz w:val="21"/>
                <w:szCs w:val="21"/>
                <w:highlight w:val="none"/>
              </w:rPr>
              <w:t>http://www.gdgpo.gov.cn</w:t>
            </w:r>
          </w:p>
        </w:tc>
        <w:tc>
          <w:tcPr>
            <w:tcW w:w="2512" w:type="dxa"/>
            <w:vAlign w:val="center"/>
          </w:tcPr>
          <w:p>
            <w:pPr>
              <w:spacing w:after="0"/>
              <w:jc w:val="center"/>
              <w:rPr>
                <w:rFonts w:ascii="宋体" w:hAnsi="宋体" w:eastAsia="宋体"/>
                <w:b/>
                <w:color w:val="auto"/>
                <w:sz w:val="21"/>
                <w:szCs w:val="21"/>
                <w:highlight w:val="none"/>
              </w:rPr>
            </w:pPr>
            <w:r>
              <w:rPr>
                <w:rFonts w:ascii="宋体" w:hAnsi="宋体" w:eastAsia="宋体"/>
                <w:color w:val="auto"/>
                <w:sz w:val="21"/>
                <w:szCs w:val="21"/>
                <w:highlight w:val="none"/>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45" w:hRule="atLeast"/>
        </w:trPr>
        <w:tc>
          <w:tcPr>
            <w:tcW w:w="8410" w:type="dxa"/>
            <w:gridSpan w:val="6"/>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二、投标文件的编制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5</w:t>
            </w:r>
          </w:p>
        </w:tc>
        <w:tc>
          <w:tcPr>
            <w:tcW w:w="7532" w:type="dxa"/>
            <w:gridSpan w:val="5"/>
            <w:vAlign w:val="center"/>
          </w:tcPr>
          <w:p>
            <w:pPr>
              <w:spacing w:after="0"/>
              <w:rPr>
                <w:rFonts w:ascii="宋体" w:hAnsi="宋体" w:eastAsia="宋体"/>
                <w:b/>
                <w:color w:val="auto"/>
                <w:sz w:val="21"/>
                <w:szCs w:val="21"/>
                <w:highlight w:val="none"/>
              </w:rPr>
            </w:pPr>
            <w:r>
              <w:rPr>
                <w:rFonts w:hint="eastAsia" w:ascii="宋体" w:hAnsi="宋体" w:eastAsia="宋体"/>
                <w:b/>
                <w:color w:val="auto"/>
                <w:sz w:val="21"/>
                <w:szCs w:val="21"/>
                <w:highlight w:val="none"/>
              </w:rPr>
              <w:t>投标语言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rPr>
                <w:rFonts w:ascii="宋体" w:hAnsi="宋体" w:eastAsia="宋体"/>
                <w:b/>
                <w:color w:val="auto"/>
                <w:sz w:val="21"/>
                <w:szCs w:val="21"/>
                <w:highlight w:val="none"/>
              </w:rPr>
            </w:pPr>
            <w:r>
              <w:rPr>
                <w:rFonts w:hint="eastAsia" w:ascii="宋体" w:hAnsi="宋体" w:eastAsia="宋体"/>
                <w:color w:val="auto"/>
                <w:sz w:val="21"/>
                <w:szCs w:val="21"/>
                <w:highlight w:val="none"/>
              </w:rPr>
              <w:t>中文。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6</w:t>
            </w: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投标报价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详见投标人须知。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7</w:t>
            </w: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投标样品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详见用户需求。</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8</w:t>
            </w: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both"/>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“●”为核心产品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9</w:t>
            </w: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b/>
                <w:color w:val="auto"/>
                <w:sz w:val="21"/>
                <w:szCs w:val="21"/>
                <w:highlight w:val="none"/>
              </w:rPr>
              <w:t>投标保证金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（1）投标保证金金额：人民币</w:t>
            </w:r>
            <w:r>
              <w:rPr>
                <w:rFonts w:hint="eastAsia" w:ascii="宋体" w:hAnsi="宋体" w:eastAsia="宋体"/>
                <w:b/>
                <w:color w:val="auto"/>
                <w:sz w:val="21"/>
                <w:szCs w:val="21"/>
                <w:highlight w:val="none"/>
                <w:lang w:eastAsia="zh-CN"/>
              </w:rPr>
              <w:t>捌万</w:t>
            </w:r>
            <w:r>
              <w:rPr>
                <w:rFonts w:hint="eastAsia" w:ascii="宋体" w:hAnsi="宋体" w:eastAsia="宋体"/>
                <w:color w:val="auto"/>
                <w:sz w:val="21"/>
                <w:szCs w:val="21"/>
                <w:highlight w:val="none"/>
              </w:rPr>
              <w:t>元整（￥</w:t>
            </w:r>
            <w:r>
              <w:rPr>
                <w:rFonts w:hint="eastAsia" w:ascii="宋体" w:hAnsi="宋体" w:eastAsia="宋体"/>
                <w:b/>
                <w:color w:val="auto"/>
                <w:sz w:val="21"/>
                <w:szCs w:val="21"/>
                <w:highlight w:val="none"/>
                <w:lang w:val="en-US" w:eastAsia="zh-CN"/>
              </w:rPr>
              <w:t>80,000.00</w:t>
            </w:r>
            <w:r>
              <w:rPr>
                <w:rFonts w:hint="eastAsia" w:ascii="宋体" w:hAnsi="宋体" w:eastAsia="宋体"/>
                <w:color w:val="auto"/>
                <w:sz w:val="21"/>
                <w:szCs w:val="21"/>
                <w:highlight w:val="none"/>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val="zh-CN"/>
              </w:rPr>
              <w:t>投标保证金须严格按“招标文件第五章投标人须知”要求提交。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60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（3）保证金递交账户：</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收款人：广东三方诚信招标有限公司东莞分公司</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开户行：广发银行股份有限公司东莞南城支行</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帐  号：6232590699050007184</w:t>
            </w:r>
          </w:p>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lang w:val="zh-CN"/>
              </w:rPr>
              <w:t>（各投标人在转帐或电汇时须在用途栏上写明采购项目编号）。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10</w:t>
            </w:r>
          </w:p>
        </w:tc>
        <w:tc>
          <w:tcPr>
            <w:tcW w:w="7532" w:type="dxa"/>
            <w:gridSpan w:val="5"/>
            <w:vAlign w:val="center"/>
          </w:tcPr>
          <w:p>
            <w:pPr>
              <w:spacing w:after="0"/>
              <w:jc w:val="both"/>
              <w:rPr>
                <w:rFonts w:ascii="宋体" w:hAnsi="宋体" w:eastAsia="宋体"/>
                <w:b/>
                <w:bCs/>
                <w:color w:val="auto"/>
                <w:sz w:val="21"/>
                <w:szCs w:val="21"/>
                <w:highlight w:val="none"/>
                <w:lang w:val="zh-CN"/>
              </w:rPr>
            </w:pPr>
            <w:r>
              <w:rPr>
                <w:rFonts w:hint="eastAsia" w:ascii="宋体" w:hAnsi="宋体" w:eastAsia="宋体"/>
                <w:b/>
                <w:bCs/>
                <w:color w:val="auto"/>
                <w:sz w:val="21"/>
                <w:szCs w:val="21"/>
                <w:highlight w:val="none"/>
                <w:lang w:val="zh-CN"/>
              </w:rPr>
              <w:t>投标保证金退还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w:t>
            </w:r>
            <w:r>
              <w:rPr>
                <w:rFonts w:hint="eastAsia" w:ascii="宋体" w:hAnsi="宋体" w:eastAsia="宋体"/>
                <w:color w:val="auto"/>
                <w:sz w:val="21"/>
                <w:szCs w:val="21"/>
                <w:highlight w:val="none"/>
              </w:rPr>
              <w:t>1</w:t>
            </w:r>
            <w:r>
              <w:rPr>
                <w:rFonts w:hint="eastAsia" w:ascii="宋体" w:hAnsi="宋体" w:eastAsia="宋体"/>
                <w:color w:val="auto"/>
                <w:sz w:val="21"/>
                <w:szCs w:val="21"/>
                <w:highlight w:val="none"/>
                <w:lang w:val="zh-CN"/>
              </w:rPr>
              <w:t>）未中标的投标人的保证金在采购结果公示发出后5个工作日内退还，中标投标人的保证金在采购合同签订后5个工作日内退还。</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w:t>
            </w: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val="zh-CN"/>
              </w:rPr>
              <w:t>）为方便退还未中标的投保人的保证金，投标人应制作《投标保证金汇入情况说明》随开标文件一并递交。</w:t>
            </w:r>
          </w:p>
          <w:p>
            <w:pPr>
              <w:spacing w:after="0"/>
              <w:jc w:val="both"/>
              <w:rPr>
                <w:rFonts w:eastAsia="宋体"/>
                <w:color w:val="auto"/>
                <w:highlight w:val="none"/>
              </w:rPr>
            </w:pPr>
            <w:r>
              <w:rPr>
                <w:rFonts w:hint="eastAsia" w:ascii="宋体" w:hAnsi="宋体" w:eastAsia="宋体"/>
                <w:color w:val="auto"/>
                <w:sz w:val="21"/>
                <w:szCs w:val="21"/>
                <w:highlight w:val="none"/>
                <w:lang w:val="zh-CN"/>
              </w:rPr>
              <w:t>（</w:t>
            </w:r>
            <w:r>
              <w:rPr>
                <w:rFonts w:hint="eastAsia" w:ascii="宋体" w:hAnsi="宋体" w:eastAsia="宋体"/>
                <w:color w:val="auto"/>
                <w:sz w:val="21"/>
                <w:szCs w:val="21"/>
                <w:highlight w:val="none"/>
              </w:rPr>
              <w:t>3</w:t>
            </w:r>
            <w:r>
              <w:rPr>
                <w:rFonts w:hint="eastAsia" w:ascii="宋体" w:hAnsi="宋体" w:eastAsia="宋体"/>
                <w:color w:val="auto"/>
                <w:sz w:val="21"/>
                <w:szCs w:val="21"/>
                <w:highlight w:val="none"/>
                <w:lang w:val="zh-CN"/>
              </w:rPr>
              <w:t>）投标保证金退还联系电话：</w:t>
            </w:r>
            <w:r>
              <w:rPr>
                <w:rFonts w:hint="eastAsia" w:ascii="宋体" w:hAnsi="宋体" w:eastAsia="宋体"/>
                <w:color w:val="auto"/>
                <w:sz w:val="21"/>
                <w:szCs w:val="21"/>
                <w:highlight w:val="none"/>
              </w:rPr>
              <w:t>0769-21862660-801。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11</w:t>
            </w: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b/>
                <w:color w:val="auto"/>
                <w:sz w:val="21"/>
                <w:szCs w:val="21"/>
                <w:highlight w:val="none"/>
              </w:rPr>
              <w:t>投标有效期</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九十天。</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12</w:t>
            </w:r>
          </w:p>
        </w:tc>
        <w:tc>
          <w:tcPr>
            <w:tcW w:w="7532" w:type="dxa"/>
            <w:gridSpan w:val="5"/>
            <w:vAlign w:val="center"/>
          </w:tcPr>
          <w:p>
            <w:pPr>
              <w:spacing w:after="0"/>
              <w:jc w:val="center"/>
              <w:rPr>
                <w:rFonts w:hint="eastAsia" w:ascii="宋体" w:hAnsi="宋体" w:eastAsia="宋体"/>
                <w:color w:val="auto"/>
                <w:sz w:val="21"/>
                <w:szCs w:val="21"/>
                <w:highlight w:val="none"/>
              </w:rPr>
            </w:pPr>
            <w:r>
              <w:rPr>
                <w:rFonts w:hint="eastAsia" w:ascii="宋体" w:hAnsi="宋体" w:eastAsia="宋体"/>
                <w:b/>
                <w:color w:val="auto"/>
                <w:sz w:val="21"/>
                <w:szCs w:val="21"/>
                <w:highlight w:val="none"/>
              </w:rPr>
              <w:t>信用信息查询渠道</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hint="eastAsia" w:ascii="宋体" w:hAnsi="宋体" w:eastAsia="宋体"/>
                <w:color w:val="auto"/>
                <w:sz w:val="21"/>
                <w:szCs w:val="21"/>
                <w:highlight w:val="none"/>
                <w:lang w:val="en-US" w:eastAsia="zh-CN"/>
              </w:rPr>
            </w:pPr>
          </w:p>
        </w:tc>
        <w:tc>
          <w:tcPr>
            <w:tcW w:w="3766" w:type="dxa"/>
            <w:gridSpan w:val="3"/>
            <w:vAlign w:val="center"/>
          </w:tcPr>
          <w:p>
            <w:pPr>
              <w:spacing w:after="0"/>
              <w:jc w:val="center"/>
              <w:rPr>
                <w:rFonts w:hint="eastAsia"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信用中国</w:t>
            </w:r>
          </w:p>
        </w:tc>
        <w:tc>
          <w:tcPr>
            <w:tcW w:w="3766" w:type="dxa"/>
            <w:gridSpan w:val="2"/>
            <w:vAlign w:val="center"/>
          </w:tcPr>
          <w:p>
            <w:pPr>
              <w:spacing w:after="0"/>
              <w:jc w:val="center"/>
              <w:rPr>
                <w:rFonts w:hint="eastAsia" w:ascii="宋体" w:hAnsi="宋体" w:eastAsia="宋体"/>
                <w:b/>
                <w:color w:val="auto"/>
                <w:sz w:val="21"/>
                <w:szCs w:val="21"/>
                <w:highlight w:val="none"/>
              </w:rPr>
            </w:pPr>
            <w:r>
              <w:rPr>
                <w:rFonts w:hint="eastAsia" w:ascii="宋体" w:hAnsi="宋体" w:eastAsia="宋体"/>
                <w:b/>
                <w:color w:val="auto"/>
                <w:sz w:val="21"/>
                <w:szCs w:val="21"/>
                <w:highlight w:val="none"/>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hint="eastAsia" w:ascii="宋体" w:hAnsi="宋体" w:eastAsia="宋体"/>
                <w:color w:val="auto"/>
                <w:sz w:val="21"/>
                <w:szCs w:val="21"/>
                <w:highlight w:val="none"/>
                <w:lang w:val="en-US" w:eastAsia="zh-CN"/>
              </w:rPr>
            </w:pPr>
          </w:p>
        </w:tc>
        <w:tc>
          <w:tcPr>
            <w:tcW w:w="3766" w:type="dxa"/>
            <w:gridSpan w:val="3"/>
            <w:vAlign w:val="center"/>
          </w:tcPr>
          <w:p>
            <w:pPr>
              <w:spacing w:after="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https://www.creditchina.gov.cn/</w:t>
            </w:r>
          </w:p>
        </w:tc>
        <w:tc>
          <w:tcPr>
            <w:tcW w:w="3766" w:type="dxa"/>
            <w:gridSpan w:val="2"/>
            <w:vAlign w:val="center"/>
          </w:tcPr>
          <w:p>
            <w:pPr>
              <w:spacing w:after="0"/>
              <w:jc w:val="center"/>
              <w:rPr>
                <w:rFonts w:hint="eastAsia" w:ascii="宋体" w:hAnsi="宋体" w:eastAsia="宋体"/>
                <w:color w:val="auto"/>
                <w:sz w:val="21"/>
                <w:szCs w:val="21"/>
                <w:highlight w:val="none"/>
              </w:rPr>
            </w:pPr>
            <w:r>
              <w:rPr>
                <w:rFonts w:ascii="宋体" w:hAnsi="宋体" w:eastAsia="宋体"/>
                <w:color w:val="auto"/>
                <w:sz w:val="21"/>
                <w:szCs w:val="21"/>
                <w:highlight w:val="none"/>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13</w:t>
            </w:r>
          </w:p>
        </w:tc>
        <w:tc>
          <w:tcPr>
            <w:tcW w:w="7532" w:type="dxa"/>
            <w:gridSpan w:val="5"/>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投标人应提交以下投标文件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投标文件类型</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份数</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开标文件</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投标文件正本</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投标文件副本</w:t>
            </w:r>
          </w:p>
        </w:tc>
        <w:tc>
          <w:tcPr>
            <w:tcW w:w="4924" w:type="dxa"/>
            <w:gridSpan w:val="3"/>
            <w:vAlign w:val="center"/>
          </w:tcPr>
          <w:p>
            <w:pPr>
              <w:spacing w:after="0"/>
              <w:jc w:val="center"/>
              <w:rPr>
                <w:rFonts w:hint="eastAsia" w:ascii="宋体" w:hAnsi="宋体" w:eastAsia="宋体"/>
                <w:b/>
                <w:color w:val="auto"/>
                <w:sz w:val="21"/>
                <w:szCs w:val="21"/>
                <w:highlight w:val="none"/>
                <w:lang w:eastAsia="zh-CN"/>
              </w:rPr>
            </w:pPr>
            <w:r>
              <w:rPr>
                <w:rFonts w:hint="eastAsia" w:ascii="宋体" w:hAnsi="宋体" w:eastAsia="宋体"/>
                <w:b/>
                <w:color w:val="auto"/>
                <w:sz w:val="21"/>
                <w:szCs w:val="21"/>
                <w:highlight w:val="none"/>
                <w:lang w:val="en-US" w:eastAsia="zh-CN"/>
              </w:rPr>
              <w:t>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电子文档</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57" w:hRule="atLeast"/>
        </w:trPr>
        <w:tc>
          <w:tcPr>
            <w:tcW w:w="8410" w:type="dxa"/>
            <w:gridSpan w:val="6"/>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三、开标与评标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14</w:t>
            </w: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本项目评标方法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综合评分法。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15</w:t>
            </w: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综合评分法评分因素和权重分值</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见附表一。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16</w:t>
            </w: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小型或微型企业、监狱企业、残疾人福利性单位投标价格折扣标准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6%。</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投标人符合须知“优惠政策”中联合体规定的投标价格折扣标准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2%。</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b/>
                <w:bCs/>
                <w:color w:val="auto"/>
                <w:sz w:val="21"/>
                <w:szCs w:val="21"/>
                <w:highlight w:val="none"/>
              </w:rPr>
              <w:t>投标人所投产品为获得节能产品认证或环境标志产品认证证书的价格折扣标准（相关规定详见投标人须知“优惠政策”）</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该</w:t>
            </w:r>
            <w:r>
              <w:rPr>
                <w:rFonts w:hint="eastAsia" w:ascii="宋体" w:hAnsi="宋体" w:eastAsia="宋体"/>
                <w:color w:val="auto"/>
                <w:sz w:val="21"/>
                <w:szCs w:val="21"/>
                <w:highlight w:val="none"/>
              </w:rPr>
              <w:t>项节能或环境标志产品折扣3%。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17" w:hRule="atLeast"/>
        </w:trPr>
        <w:tc>
          <w:tcPr>
            <w:tcW w:w="8410" w:type="dxa"/>
            <w:gridSpan w:val="6"/>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四、授予合同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17</w:t>
            </w:r>
          </w:p>
        </w:tc>
        <w:tc>
          <w:tcPr>
            <w:tcW w:w="7532" w:type="dxa"/>
            <w:gridSpan w:val="5"/>
            <w:shd w:val="clear" w:color="auto" w:fill="auto"/>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履约保证金（如有需要）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shd w:val="clear" w:color="auto" w:fill="auto"/>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履约保证金的数额为政府采购合同金额的5%。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65"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18</w:t>
            </w: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中标服务费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1）中标服务费根据国家计委[计价格[2002]1980号]文和国家发改委[发改价格[2011]534号]文及相关规定向中标单位收取，按差额定率累进法计算，以中标通知书中确定的中标总金额作为收费的计算依据；中标服务费最低收费标准为伍仟元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（2）中标服务费以转账或现金的形式支付。采购代理机构服务费汇入账号：</w:t>
            </w:r>
          </w:p>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收 款 人：广东三方诚信招标有限公司东莞分公司</w:t>
            </w:r>
          </w:p>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开户银行：中国工商银行东莞市分行</w:t>
            </w:r>
          </w:p>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账　　号：2010021309900018461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6"/>
            <w:vAlign w:val="center"/>
          </w:tcPr>
          <w:p>
            <w:pPr>
              <w:widowControl w:val="0"/>
              <w:tabs>
                <w:tab w:val="left" w:pos="907"/>
              </w:tabs>
              <w:adjustRightInd/>
              <w:snapToGrid/>
              <w:spacing w:after="0"/>
              <w:ind w:firstLine="420" w:firstLineChars="20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注：本表关于要采购项目的具体资料，是对投标人须知的具体补充和修改，如有矛盾，应以本资料表为准。</w:t>
            </w:r>
          </w:p>
        </w:tc>
      </w:tr>
    </w:tbl>
    <w:p>
      <w:pPr>
        <w:jc w:val="center"/>
        <w:rPr>
          <w:color w:val="auto"/>
          <w:highlight w:val="none"/>
        </w:rPr>
      </w:pPr>
      <w:r>
        <w:rPr>
          <w:rFonts w:hint="eastAsia"/>
          <w:color w:val="auto"/>
          <w:highlight w:val="none"/>
        </w:rPr>
        <w:br w:type="page"/>
      </w:r>
    </w:p>
    <w:p>
      <w:pPr>
        <w:pStyle w:val="4"/>
        <w:spacing w:before="0" w:after="0" w:line="240" w:lineRule="auto"/>
        <w:jc w:val="center"/>
        <w:rPr>
          <w:rFonts w:ascii="宋体" w:hAnsi="宋体" w:eastAsia="宋体" w:cs="宋体"/>
          <w:color w:val="auto"/>
          <w:sz w:val="24"/>
          <w:szCs w:val="24"/>
          <w:highlight w:val="none"/>
        </w:rPr>
      </w:pPr>
      <w:bookmarkStart w:id="3" w:name="_Toc9572"/>
      <w:r>
        <w:rPr>
          <w:rFonts w:hint="eastAsia" w:ascii="宋体" w:hAnsi="宋体" w:eastAsia="宋体" w:cs="宋体"/>
          <w:color w:val="auto"/>
          <w:sz w:val="24"/>
          <w:szCs w:val="24"/>
          <w:highlight w:val="none"/>
        </w:rPr>
        <w:t>附表二：商务技术评分及价格权重表</w:t>
      </w:r>
      <w:bookmarkEnd w:id="3"/>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07"/>
        <w:gridCol w:w="762"/>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607"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评审项目</w:t>
            </w:r>
          </w:p>
        </w:tc>
        <w:tc>
          <w:tcPr>
            <w:tcW w:w="762"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c>
          <w:tcPr>
            <w:tcW w:w="5463"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商务评审</w:t>
            </w:r>
            <w:r>
              <w:rPr>
                <w:rFonts w:hint="eastAsia" w:ascii="宋体" w:hAnsi="宋体" w:eastAsia="宋体" w:cs="宋体"/>
                <w:color w:val="auto"/>
                <w:sz w:val="21"/>
                <w:szCs w:val="21"/>
                <w:highlight w:val="none"/>
                <w:lang w:eastAsia="zh-CN"/>
              </w:rPr>
              <w:t>（</w:t>
            </w:r>
            <w:r>
              <w:rPr>
                <w:rFonts w:hint="eastAsia" w:asci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690" w:type="dxa"/>
            <w:tcBorders>
              <w:left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1607" w:type="dxa"/>
            <w:tcBorders>
              <w:left w:val="single" w:color="auto" w:sz="4" w:space="0"/>
              <w:right w:val="single" w:color="auto" w:sz="4" w:space="0"/>
            </w:tcBorders>
            <w:vAlign w:val="center"/>
          </w:tcPr>
          <w:p>
            <w:pPr>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业绩实力</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分</w:t>
            </w:r>
          </w:p>
        </w:tc>
        <w:tc>
          <w:tcPr>
            <w:tcW w:w="54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投标人201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年以来</w:t>
            </w:r>
            <w:r>
              <w:rPr>
                <w:rFonts w:hint="eastAsia" w:ascii="宋体" w:hAnsi="宋体" w:eastAsia="宋体" w:cs="宋体"/>
                <w:color w:val="auto"/>
                <w:sz w:val="21"/>
                <w:szCs w:val="21"/>
                <w:highlight w:val="none"/>
                <w:lang w:eastAsia="zh-CN"/>
              </w:rPr>
              <w:t>具有</w:t>
            </w:r>
            <w:r>
              <w:rPr>
                <w:rFonts w:hint="eastAsia" w:ascii="宋体" w:hAnsi="宋体" w:eastAsia="宋体" w:cs="宋体"/>
                <w:color w:val="auto"/>
                <w:sz w:val="21"/>
                <w:szCs w:val="21"/>
                <w:highlight w:val="none"/>
              </w:rPr>
              <w:t>污水管网或建筑基坑检测类项目业绩，每个业绩得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分；最高</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bidi w:val="0"/>
              <w:adjustRightInd w:val="0"/>
              <w:snapToGrid w:val="0"/>
              <w:spacing w:beforeAutospacing="0" w:after="0" w:afterAutospacing="0" w:line="24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投标人201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年以来</w:t>
            </w:r>
            <w:r>
              <w:rPr>
                <w:rFonts w:hint="eastAsia" w:ascii="宋体" w:hAnsi="宋体" w:eastAsia="宋体" w:cs="宋体"/>
                <w:color w:val="auto"/>
                <w:sz w:val="21"/>
                <w:szCs w:val="21"/>
                <w:highlight w:val="none"/>
                <w:lang w:eastAsia="zh-CN"/>
              </w:rPr>
              <w:t>具有</w:t>
            </w:r>
            <w:r>
              <w:rPr>
                <w:rFonts w:hint="eastAsia" w:ascii="宋体" w:hAnsi="宋体" w:eastAsia="宋体" w:cs="宋体"/>
                <w:color w:val="auto"/>
                <w:sz w:val="21"/>
                <w:szCs w:val="21"/>
                <w:highlight w:val="none"/>
              </w:rPr>
              <w:t>污水管网或建筑基坑监测类项目业绩，每个业绩得1分，最高</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bidi w:val="0"/>
              <w:adjustRightInd w:val="0"/>
              <w:snapToGrid w:val="0"/>
              <w:spacing w:beforeAutospacing="0" w:after="0" w:afterAutospacing="0" w:line="240" w:lineRule="auto"/>
              <w:ind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highlight w:val="none"/>
              </w:rPr>
              <w:t>注：须附业绩合同的复印件加盖公章</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1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管理体系认证</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分</w:t>
            </w:r>
          </w:p>
        </w:tc>
        <w:tc>
          <w:tcPr>
            <w:tcW w:w="54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24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投标人具有由国家认证认可监督管理部门批准设立等认证机构颁发并在有效期内</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环境管理体系认证、质量管理体系认证、职业健康安全管理体系认证证书每个得1分，</w:t>
            </w:r>
            <w:r>
              <w:rPr>
                <w:rFonts w:hint="eastAsia" w:ascii="宋体" w:hAnsi="宋体" w:eastAsia="宋体" w:cs="宋体"/>
                <w:color w:val="auto"/>
                <w:sz w:val="21"/>
                <w:szCs w:val="21"/>
                <w:highlight w:val="none"/>
                <w:lang w:eastAsia="zh-CN"/>
              </w:rPr>
              <w:t>共</w:t>
            </w:r>
            <w:r>
              <w:rPr>
                <w:rFonts w:hint="eastAsia" w:ascii="宋体" w:hAnsi="宋体" w:eastAsia="宋体" w:cs="宋体"/>
                <w:color w:val="auto"/>
                <w:sz w:val="21"/>
                <w:szCs w:val="21"/>
                <w:highlight w:val="none"/>
                <w:lang w:val="en-US" w:eastAsia="zh-CN"/>
              </w:rPr>
              <w:t>3分</w:t>
            </w:r>
            <w:r>
              <w:rPr>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bidi w:val="0"/>
              <w:adjustRightInd w:val="0"/>
              <w:snapToGrid w:val="0"/>
              <w:spacing w:beforeAutospacing="0" w:after="0" w:afterAutospacing="0" w:line="240" w:lineRule="auto"/>
              <w:ind w:firstLine="420" w:firstLineChars="200"/>
              <w:jc w:val="left"/>
              <w:textAlignment w:val="auto"/>
              <w:rPr>
                <w:rFonts w:hint="eastAsia" w:ascii="宋体" w:hAnsi="宋体" w:eastAsia="宋体" w:cs="宋体"/>
                <w:bCs/>
                <w:color w:val="auto"/>
                <w:sz w:val="21"/>
                <w:szCs w:val="21"/>
                <w:highlight w:val="none"/>
                <w:lang w:val="zh-CN"/>
              </w:rPr>
            </w:pPr>
            <w:r>
              <w:rPr>
                <w:rFonts w:hint="eastAsia" w:ascii="宋体" w:hAnsi="宋体" w:eastAsia="宋体" w:cs="宋体"/>
                <w:color w:val="auto"/>
                <w:sz w:val="21"/>
                <w:szCs w:val="21"/>
                <w:highlight w:val="none"/>
              </w:rPr>
              <w:t>（提供证书复印件和网站截图加盖投标人公章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如为联合体投标，则需联合体双方均提供方可得分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1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val="en-US" w:eastAsia="zh-CN"/>
              </w:rPr>
              <w:t>信用及</w:t>
            </w:r>
            <w:r>
              <w:rPr>
                <w:rFonts w:hint="eastAsia" w:ascii="宋体" w:hAnsi="宋体" w:eastAsia="宋体" w:cs="宋体"/>
                <w:color w:val="auto"/>
                <w:sz w:val="21"/>
                <w:szCs w:val="21"/>
                <w:highlight w:val="none"/>
              </w:rPr>
              <w:t>实力</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tc>
        <w:tc>
          <w:tcPr>
            <w:tcW w:w="54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val="en-US" w:eastAsia="zh-CN"/>
              </w:rPr>
              <w:t>或联合体任一成员</w:t>
            </w:r>
            <w:r>
              <w:rPr>
                <w:rFonts w:hint="eastAsia" w:ascii="宋体" w:hAnsi="宋体" w:eastAsia="宋体" w:cs="宋体"/>
                <w:color w:val="auto"/>
                <w:sz w:val="21"/>
                <w:szCs w:val="21"/>
                <w:highlight w:val="none"/>
              </w:rPr>
              <w:t>具备国家版权局颁发的软件著作权登记证书（证书包括：</w:t>
            </w:r>
            <w:r>
              <w:rPr>
                <w:rFonts w:hint="eastAsia" w:ascii="宋体" w:hAnsi="宋体" w:eastAsia="宋体" w:cs="宋体"/>
                <w:color w:val="auto"/>
                <w:sz w:val="21"/>
                <w:szCs w:val="21"/>
                <w:highlight w:val="none"/>
                <w:lang w:val="en-US" w:eastAsia="zh-CN"/>
              </w:rPr>
              <w:t>检测类，</w:t>
            </w:r>
            <w:r>
              <w:rPr>
                <w:rFonts w:hint="eastAsia" w:ascii="宋体" w:hAnsi="宋体" w:eastAsia="宋体" w:cs="宋体"/>
                <w:color w:val="auto"/>
                <w:sz w:val="21"/>
                <w:szCs w:val="21"/>
                <w:highlight w:val="none"/>
              </w:rPr>
              <w:t>勘察类，或测量类，或原位测试类，或物探类），每个得0.5分，满分</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val="en-US" w:eastAsia="zh-CN"/>
              </w:rPr>
              <w:t>或联合体任一成员有</w:t>
            </w:r>
            <w:r>
              <w:rPr>
                <w:rFonts w:hint="eastAsia" w:ascii="宋体" w:hAnsi="宋体" w:eastAsia="宋体" w:cs="宋体"/>
                <w:color w:val="auto"/>
                <w:sz w:val="21"/>
                <w:szCs w:val="21"/>
                <w:highlight w:val="none"/>
              </w:rPr>
              <w:t>获得</w:t>
            </w:r>
            <w:r>
              <w:rPr>
                <w:rFonts w:hint="eastAsia" w:ascii="宋体" w:hAnsi="宋体" w:eastAsia="宋体" w:cs="宋体"/>
                <w:color w:val="auto"/>
                <w:sz w:val="21"/>
                <w:szCs w:val="21"/>
                <w:highlight w:val="none"/>
                <w:lang w:val="en-US" w:eastAsia="zh-CN"/>
              </w:rPr>
              <w:t>检测、</w:t>
            </w:r>
            <w:r>
              <w:rPr>
                <w:rFonts w:hint="eastAsia" w:ascii="宋体" w:hAnsi="宋体" w:eastAsia="宋体" w:cs="宋体"/>
                <w:color w:val="auto"/>
                <w:sz w:val="21"/>
                <w:szCs w:val="21"/>
                <w:highlight w:val="none"/>
              </w:rPr>
              <w:t>监测</w:t>
            </w:r>
            <w:r>
              <w:rPr>
                <w:rFonts w:hint="eastAsia" w:ascii="宋体" w:hAnsi="宋体" w:eastAsia="宋体" w:cs="宋体"/>
                <w:color w:val="auto"/>
                <w:sz w:val="21"/>
                <w:szCs w:val="21"/>
                <w:highlight w:val="none"/>
                <w:lang w:val="en-US" w:eastAsia="zh-CN"/>
              </w:rPr>
              <w:t>或勘察类</w:t>
            </w:r>
            <w:r>
              <w:rPr>
                <w:rFonts w:hint="eastAsia" w:ascii="宋体" w:hAnsi="宋体" w:eastAsia="宋体" w:cs="宋体"/>
                <w:color w:val="auto"/>
                <w:sz w:val="21"/>
                <w:szCs w:val="21"/>
                <w:highlight w:val="none"/>
              </w:rPr>
              <w:t>奖项的</w:t>
            </w:r>
            <w:r>
              <w:rPr>
                <w:rFonts w:hint="eastAsia" w:ascii="宋体" w:hAnsi="宋体" w:eastAsia="宋体" w:cs="宋体"/>
                <w:color w:val="auto"/>
                <w:sz w:val="21"/>
                <w:szCs w:val="21"/>
                <w:highlight w:val="none"/>
                <w:lang w:val="en-US" w:eastAsia="zh-CN"/>
              </w:rPr>
              <w:t>得2分，无不得分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人员配备</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7分</w:t>
            </w:r>
          </w:p>
        </w:tc>
        <w:tc>
          <w:tcPr>
            <w:tcW w:w="54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①投标人拟投入项目负责人同时具备岩土类专业高级工程师职称、注册土木工程（岩土）执业资格得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分，无不得分；</w:t>
            </w:r>
          </w:p>
          <w:p>
            <w:pPr>
              <w:keepNext w:val="0"/>
              <w:keepLines w:val="0"/>
              <w:pageBreakBefore w:val="0"/>
              <w:widowControl/>
              <w:kinsoku/>
              <w:wordWrap/>
              <w:overflowPunct/>
              <w:topLinePunct w:val="0"/>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 投标人拟投入项目技术负责人具备岩土类专业高级工程师职称格得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分，有获得</w:t>
            </w:r>
            <w:r>
              <w:rPr>
                <w:rFonts w:hint="eastAsia" w:ascii="宋体" w:hAnsi="宋体" w:eastAsia="宋体" w:cs="宋体"/>
                <w:color w:val="auto"/>
                <w:sz w:val="21"/>
                <w:szCs w:val="21"/>
                <w:highlight w:val="none"/>
                <w:lang w:eastAsia="zh-CN"/>
              </w:rPr>
              <w:t>地级市</w:t>
            </w:r>
            <w:r>
              <w:rPr>
                <w:rFonts w:hint="eastAsia" w:ascii="宋体" w:hAnsi="宋体" w:eastAsia="宋体" w:cs="宋体"/>
                <w:color w:val="auto"/>
                <w:sz w:val="21"/>
                <w:szCs w:val="21"/>
                <w:highlight w:val="none"/>
              </w:rPr>
              <w:t>或以上勘察设计协会颁发的荣誉证书，得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分，最高得分</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分，无不得分；</w:t>
            </w:r>
          </w:p>
          <w:p>
            <w:pPr>
              <w:keepNext w:val="0"/>
              <w:keepLines w:val="0"/>
              <w:pageBreakBefore w:val="0"/>
              <w:widowControl/>
              <w:kinsoku/>
              <w:wordWrap/>
              <w:overflowPunct/>
              <w:topLinePunct w:val="0"/>
              <w:bidi w:val="0"/>
              <w:adjustRightInd w:val="0"/>
              <w:snapToGrid w:val="0"/>
              <w:spacing w:beforeAutospacing="0" w:after="0" w:afterAutospacing="0" w:line="24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③投标人投入项目</w:t>
            </w:r>
            <w:r>
              <w:rPr>
                <w:rFonts w:hint="eastAsia" w:ascii="宋体" w:hAnsi="宋体" w:eastAsia="宋体" w:cs="宋体"/>
                <w:color w:val="auto"/>
                <w:sz w:val="21"/>
                <w:szCs w:val="21"/>
                <w:highlight w:val="none"/>
                <w:lang w:val="en-US" w:eastAsia="zh-CN"/>
              </w:rPr>
              <w:t>检测</w:t>
            </w:r>
            <w:r>
              <w:rPr>
                <w:rFonts w:hint="eastAsia" w:ascii="宋体" w:hAnsi="宋体" w:eastAsia="宋体" w:cs="宋体"/>
                <w:color w:val="auto"/>
                <w:sz w:val="21"/>
                <w:szCs w:val="21"/>
                <w:highlight w:val="none"/>
              </w:rPr>
              <w:t>监测技术人员具注册土木工程（岩土）或高级工程师的，每个得0.5分，最高得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（须提供人员相关证书及投标人近</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个月（不含开标当月）为其购买的社保证明复印件加盖投标人公章）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拟投入设备</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4分</w:t>
            </w:r>
          </w:p>
        </w:tc>
        <w:tc>
          <w:tcPr>
            <w:tcW w:w="54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0" w:afterAutospacing="0" w:line="24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拟投入本项目的专用设备情况：全站仪、水准仪</w:t>
            </w:r>
            <w:r>
              <w:rPr>
                <w:rFonts w:hint="eastAsia" w:ascii="宋体" w:hAnsi="宋体" w:eastAsia="宋体" w:cs="宋体"/>
                <w:color w:val="auto"/>
                <w:sz w:val="21"/>
                <w:szCs w:val="21"/>
                <w:highlight w:val="none"/>
                <w:lang w:val="en-US" w:eastAsia="zh-CN"/>
              </w:rPr>
              <w:t>及CCTV管道检测仪、轻型触探仪、灌砂法密度试验仪、超声波探伤仪</w:t>
            </w:r>
            <w:r>
              <w:rPr>
                <w:rFonts w:hint="eastAsia" w:ascii="宋体" w:hAnsi="宋体" w:eastAsia="宋体" w:cs="宋体"/>
                <w:color w:val="auto"/>
                <w:sz w:val="21"/>
                <w:szCs w:val="21"/>
                <w:highlight w:val="none"/>
              </w:rPr>
              <w:t>，每投入一台（套）得0.5分，最高得4分。</w:t>
            </w:r>
          </w:p>
          <w:p>
            <w:pPr>
              <w:keepNext w:val="0"/>
              <w:keepLines w:val="0"/>
              <w:pageBreakBefore w:val="0"/>
              <w:widowControl/>
              <w:kinsoku/>
              <w:wordWrap/>
              <w:overflowPunct/>
              <w:topLinePunct w:val="0"/>
              <w:bidi w:val="0"/>
              <w:adjustRightInd w:val="0"/>
              <w:snapToGrid w:val="0"/>
              <w:spacing w:beforeAutospacing="0" w:after="0" w:afterAutospacing="0" w:line="240" w:lineRule="auto"/>
              <w:ind w:firstLine="420" w:firstLineChars="200"/>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（需提供证明材料提供设备检定/校准证书及设备发票复印件盖</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技术评审</w:t>
            </w:r>
            <w:r>
              <w:rPr>
                <w:rFonts w:hint="eastAsia" w:ascii="宋体" w:hAnsi="宋体" w:eastAsia="宋体" w:cs="宋体"/>
                <w:color w:val="auto"/>
                <w:sz w:val="21"/>
                <w:szCs w:val="21"/>
                <w:highlight w:val="none"/>
                <w:lang w:eastAsia="zh-CN"/>
              </w:rPr>
              <w:t>（</w:t>
            </w:r>
            <w:r>
              <w:rPr>
                <w:rFonts w:hint="eastAsia" w:asci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1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项目的理解和分析</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Autospacing="0" w:after="0" w:afterAutospacing="0" w:line="240" w:lineRule="auto"/>
              <w:ind w:firstLine="0" w:firstLineChars="0"/>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color w:val="auto"/>
                <w:kern w:val="0"/>
                <w:sz w:val="21"/>
                <w:szCs w:val="21"/>
                <w:highlight w:val="none"/>
                <w:lang w:val="en-US" w:eastAsia="zh-CN"/>
              </w:rPr>
              <w:t>15</w:t>
            </w:r>
          </w:p>
        </w:tc>
        <w:tc>
          <w:tcPr>
            <w:tcW w:w="54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根据投标人对项目及所在地工作条件认识，总体工作思路表述清晰、完整、严谨、合理；熟悉工程情况、工作目标明确、对重点和难点工程认识充分，理解得当为优：</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根据投标人对项目及所在地工作条件认识较好，总体工作思路表述清晰、完整；对重点和难点工程认识较好为良：</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根据投标人对项目及所在地工作条件认识一般，总体工作思路表述不完整；对重点和难点工程认识一般为差：</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投标人无提供相应方案不得分；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1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监测方法、措施是否可行</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10</w:t>
            </w:r>
          </w:p>
        </w:tc>
        <w:tc>
          <w:tcPr>
            <w:tcW w:w="54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根据投标人结合对</w:t>
            </w:r>
            <w:r>
              <w:rPr>
                <w:rFonts w:hint="eastAsia" w:ascii="宋体" w:hAnsi="宋体" w:eastAsia="宋体" w:cs="宋体"/>
                <w:color w:val="auto"/>
                <w:sz w:val="21"/>
                <w:szCs w:val="21"/>
                <w:highlight w:val="none"/>
                <w:lang w:val="en-US" w:eastAsia="zh-CN"/>
              </w:rPr>
              <w:t>检测</w:t>
            </w:r>
            <w:r>
              <w:rPr>
                <w:rFonts w:hint="eastAsia" w:ascii="宋体" w:hAnsi="宋体" w:eastAsia="宋体" w:cs="宋体"/>
                <w:color w:val="auto"/>
                <w:sz w:val="21"/>
                <w:szCs w:val="21"/>
                <w:highlight w:val="none"/>
              </w:rPr>
              <w:t>监测工作内容理解是否深刻、全面，工作布置和流程是否合理可行，是否针对性强，是否有一定的安全预见性，成果报告提交的内容是否符合规定、全面、准确、</w:t>
            </w:r>
            <w:r>
              <w:rPr>
                <w:rFonts w:hint="eastAsia" w:ascii="宋体" w:hAnsi="宋体" w:eastAsia="宋体" w:cs="宋体"/>
                <w:color w:val="auto"/>
                <w:sz w:val="21"/>
                <w:szCs w:val="21"/>
                <w:highlight w:val="none"/>
                <w:lang w:val="en-US" w:eastAsia="zh-CN"/>
              </w:rPr>
              <w:t>检测</w:t>
            </w:r>
            <w:r>
              <w:rPr>
                <w:rFonts w:hint="eastAsia" w:ascii="宋体" w:hAnsi="宋体" w:eastAsia="宋体" w:cs="宋体"/>
                <w:color w:val="auto"/>
                <w:sz w:val="21"/>
                <w:szCs w:val="21"/>
                <w:highlight w:val="none"/>
              </w:rPr>
              <w:t>监测方法是否科学合理、措施可行有效等进行综合评审：</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检测</w:t>
            </w:r>
            <w:r>
              <w:rPr>
                <w:rFonts w:hint="eastAsia" w:ascii="宋体" w:hAnsi="宋体" w:eastAsia="宋体" w:cs="宋体"/>
                <w:color w:val="auto"/>
                <w:sz w:val="21"/>
                <w:szCs w:val="21"/>
                <w:highlight w:val="none"/>
              </w:rPr>
              <w:t>监测方法科学合理、措施可行有效为优：</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检测</w:t>
            </w:r>
            <w:r>
              <w:rPr>
                <w:rFonts w:hint="eastAsia" w:ascii="宋体" w:hAnsi="宋体" w:eastAsia="宋体" w:cs="宋体"/>
                <w:color w:val="auto"/>
                <w:sz w:val="21"/>
                <w:szCs w:val="21"/>
                <w:highlight w:val="none"/>
              </w:rPr>
              <w:t>监测方法基本合理、措施基本有效为良：</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检测</w:t>
            </w:r>
            <w:r>
              <w:rPr>
                <w:rFonts w:hint="eastAsia" w:ascii="宋体" w:hAnsi="宋体" w:eastAsia="宋体" w:cs="宋体"/>
                <w:color w:val="auto"/>
                <w:sz w:val="21"/>
                <w:szCs w:val="21"/>
                <w:highlight w:val="none"/>
              </w:rPr>
              <w:t>监测方法、措施一般为差：</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投标人无提供相应方案不得分</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1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质量、进度措施控制</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Autospacing="0" w:after="0" w:afterAutospacing="0" w:line="240" w:lineRule="auto"/>
              <w:ind w:firstLine="0" w:firstLine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10</w:t>
            </w:r>
          </w:p>
        </w:tc>
        <w:tc>
          <w:tcPr>
            <w:tcW w:w="54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根据投标人制定的</w:t>
            </w:r>
            <w:r>
              <w:rPr>
                <w:rFonts w:hint="eastAsia" w:ascii="宋体" w:hAnsi="宋体" w:eastAsia="宋体" w:cs="宋体"/>
                <w:color w:val="auto"/>
                <w:sz w:val="21"/>
                <w:szCs w:val="21"/>
                <w:highlight w:val="none"/>
                <w:lang w:val="en-US" w:eastAsia="zh-CN"/>
              </w:rPr>
              <w:t>检测</w:t>
            </w:r>
            <w:r>
              <w:rPr>
                <w:rFonts w:hint="eastAsia" w:ascii="宋体" w:hAnsi="宋体" w:eastAsia="宋体" w:cs="宋体"/>
                <w:color w:val="auto"/>
                <w:sz w:val="21"/>
                <w:szCs w:val="21"/>
                <w:highlight w:val="none"/>
              </w:rPr>
              <w:t>监测质量、进度目标明确，预控和动态控制措施得力，实施方法可行，手段科学进行综合评审：</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投标人制定的</w:t>
            </w:r>
            <w:r>
              <w:rPr>
                <w:rFonts w:hint="eastAsia" w:ascii="宋体" w:hAnsi="宋体" w:eastAsia="宋体" w:cs="宋体"/>
                <w:color w:val="auto"/>
                <w:sz w:val="21"/>
                <w:szCs w:val="21"/>
                <w:highlight w:val="none"/>
                <w:lang w:val="en-US" w:eastAsia="zh-CN"/>
              </w:rPr>
              <w:t>检测</w:t>
            </w:r>
            <w:r>
              <w:rPr>
                <w:rFonts w:hint="eastAsia" w:ascii="宋体" w:hAnsi="宋体" w:eastAsia="宋体" w:cs="宋体"/>
                <w:color w:val="auto"/>
                <w:sz w:val="21"/>
                <w:szCs w:val="21"/>
                <w:highlight w:val="none"/>
              </w:rPr>
              <w:t>监测质量、进度目标明确，预控和动态控制措施得力，实施方法可行，手段科学为优：</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投标人制定的</w:t>
            </w:r>
            <w:r>
              <w:rPr>
                <w:rFonts w:hint="eastAsia" w:ascii="宋体" w:hAnsi="宋体" w:eastAsia="宋体" w:cs="宋体"/>
                <w:color w:val="auto"/>
                <w:sz w:val="21"/>
                <w:szCs w:val="21"/>
                <w:highlight w:val="none"/>
                <w:lang w:val="en-US" w:eastAsia="zh-CN"/>
              </w:rPr>
              <w:t>检测</w:t>
            </w:r>
            <w:r>
              <w:rPr>
                <w:rFonts w:hint="eastAsia" w:ascii="宋体" w:hAnsi="宋体" w:eastAsia="宋体" w:cs="宋体"/>
                <w:color w:val="auto"/>
                <w:sz w:val="21"/>
                <w:szCs w:val="21"/>
                <w:highlight w:val="none"/>
              </w:rPr>
              <w:t>监测质量、进度目标一般，预控和动态控制措施、实施方法基本可行为良：</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投标人制定的</w:t>
            </w:r>
            <w:r>
              <w:rPr>
                <w:rFonts w:hint="eastAsia" w:ascii="宋体" w:hAnsi="宋体" w:eastAsia="宋体" w:cs="宋体"/>
                <w:color w:val="auto"/>
                <w:sz w:val="21"/>
                <w:szCs w:val="21"/>
                <w:highlight w:val="none"/>
                <w:lang w:val="en-US" w:eastAsia="zh-CN"/>
              </w:rPr>
              <w:t>检测</w:t>
            </w:r>
            <w:r>
              <w:rPr>
                <w:rFonts w:hint="eastAsia" w:ascii="宋体" w:hAnsi="宋体" w:eastAsia="宋体" w:cs="宋体"/>
                <w:color w:val="auto"/>
                <w:sz w:val="21"/>
                <w:szCs w:val="21"/>
                <w:highlight w:val="none"/>
              </w:rPr>
              <w:t>监测质量、进度目标不明确，预控和动态控制措施不可行、实施方法不当为差：</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投标人无提供相应方案不得分；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资料信息</w:t>
            </w:r>
          </w:p>
          <w:p>
            <w:pPr>
              <w:keepNext w:val="0"/>
              <w:keepLines w:val="0"/>
              <w:pageBreakBefore w:val="0"/>
              <w:widowControl/>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7</w:t>
            </w:r>
          </w:p>
        </w:tc>
        <w:tc>
          <w:tcPr>
            <w:tcW w:w="54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w:t>
            </w:r>
            <w:r>
              <w:rPr>
                <w:rFonts w:hint="eastAsia" w:ascii="宋体" w:hAnsi="宋体" w:eastAsia="宋体" w:cs="宋体"/>
                <w:color w:val="auto"/>
                <w:sz w:val="21"/>
                <w:szCs w:val="21"/>
                <w:highlight w:val="none"/>
                <w:lang w:val="en-US" w:eastAsia="zh-CN"/>
              </w:rPr>
              <w:t>检测</w:t>
            </w:r>
            <w:r>
              <w:rPr>
                <w:rFonts w:hint="eastAsia" w:ascii="宋体" w:hAnsi="宋体" w:eastAsia="宋体" w:cs="宋体"/>
                <w:color w:val="auto"/>
                <w:sz w:val="21"/>
                <w:szCs w:val="21"/>
                <w:highlight w:val="none"/>
              </w:rPr>
              <w:t>监测信息管理任务是否明确进行综合评审：</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val="en-US" w:eastAsia="zh-CN"/>
              </w:rPr>
              <w:t>检测</w:t>
            </w:r>
            <w:r>
              <w:rPr>
                <w:rFonts w:hint="eastAsia" w:ascii="宋体" w:hAnsi="宋体" w:eastAsia="宋体" w:cs="宋体"/>
                <w:color w:val="auto"/>
                <w:sz w:val="21"/>
                <w:szCs w:val="21"/>
                <w:highlight w:val="none"/>
              </w:rPr>
              <w:t>监测信息管理任务明确为优：</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val="en-US" w:eastAsia="zh-CN"/>
              </w:rPr>
              <w:t>检测</w:t>
            </w:r>
            <w:r>
              <w:rPr>
                <w:rFonts w:hint="eastAsia" w:ascii="宋体" w:hAnsi="宋体" w:eastAsia="宋体" w:cs="宋体"/>
                <w:color w:val="auto"/>
                <w:sz w:val="21"/>
                <w:szCs w:val="21"/>
                <w:highlight w:val="none"/>
              </w:rPr>
              <w:t>监测信息管理任务基本明确为良：</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val="en-US" w:eastAsia="zh-CN"/>
              </w:rPr>
              <w:t>检测</w:t>
            </w:r>
            <w:r>
              <w:rPr>
                <w:rFonts w:hint="eastAsia" w:ascii="宋体" w:hAnsi="宋体" w:eastAsia="宋体" w:cs="宋体"/>
                <w:color w:val="auto"/>
                <w:sz w:val="21"/>
                <w:szCs w:val="21"/>
                <w:highlight w:val="none"/>
              </w:rPr>
              <w:t>监测信息管理任务不明确为差：</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投标人无提供相应方案不得分；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安全文明生产及环保措施</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Autospacing="0" w:after="0" w:afterAutospacing="0" w:line="240" w:lineRule="auto"/>
              <w:ind w:firstLine="0" w:firstLineChars="0"/>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color w:val="auto"/>
                <w:kern w:val="0"/>
                <w:sz w:val="21"/>
                <w:szCs w:val="21"/>
                <w:highlight w:val="none"/>
                <w:lang w:val="en-US" w:eastAsia="zh-CN"/>
              </w:rPr>
              <w:t>8</w:t>
            </w:r>
          </w:p>
        </w:tc>
        <w:tc>
          <w:tcPr>
            <w:tcW w:w="54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根据投标人制定的体系、方针及措施明确，实施方法可行进行综合评审：</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投标人制定的体系、方针及措施明确，实施方法可行为优：</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投标人制定的体系、方针及措施明确，实施方法基本可行为良：</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投标人制定的体系、方针及措施明确，实施方法不当为差：</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投标人无提供相应方案不得分；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07"/>
              </w:tabs>
              <w:kinsoku/>
              <w:wordWrap/>
              <w:overflowPunct/>
              <w:topLinePunct w:val="0"/>
              <w:bidi w:val="0"/>
              <w:adjustRightInd/>
              <w:snapToGrid/>
              <w:spacing w:beforeAutospacing="0" w:after="0" w:afterAutospacing="0" w:line="240" w:lineRule="auto"/>
              <w:ind w:firstLine="0" w:firstLineChars="0"/>
              <w:jc w:val="both"/>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w:t>
            </w:r>
          </w:p>
          <w:p>
            <w:pPr>
              <w:keepNext w:val="0"/>
              <w:keepLines w:val="0"/>
              <w:pageBreakBefore w:val="0"/>
              <w:widowControl w:val="0"/>
              <w:tabs>
                <w:tab w:val="left" w:pos="907"/>
              </w:tabs>
              <w:kinsoku/>
              <w:wordWrap/>
              <w:overflowPunct/>
              <w:topLinePunct w:val="0"/>
              <w:bidi w:val="0"/>
              <w:adjustRightInd/>
              <w:snapToGrid/>
              <w:spacing w:beforeAutospacing="0" w:after="0" w:afterAutospacing="0" w:line="240" w:lineRule="auto"/>
              <w:ind w:firstLine="0" w:firstLineChars="0"/>
              <w:jc w:val="both"/>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（1）无特殊说明外，以上评审项，同一证明文件不重复计分。</w:t>
            </w:r>
          </w:p>
          <w:p>
            <w:pPr>
              <w:keepNext w:val="0"/>
              <w:keepLines w:val="0"/>
              <w:pageBreakBefore w:val="0"/>
              <w:widowControl w:val="0"/>
              <w:tabs>
                <w:tab w:val="left" w:pos="907"/>
              </w:tabs>
              <w:kinsoku/>
              <w:wordWrap/>
              <w:overflowPunct/>
              <w:topLinePunct w:val="0"/>
              <w:bidi w:val="0"/>
              <w:adjustRightInd/>
              <w:snapToGrid/>
              <w:spacing w:beforeAutospacing="0" w:after="0" w:afterAutospacing="0" w:line="240" w:lineRule="auto"/>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（2）投标人根据以上评分要求提供的</w:t>
            </w:r>
            <w:r>
              <w:rPr>
                <w:rFonts w:hint="eastAsia" w:ascii="宋体" w:hAnsi="宋体" w:eastAsia="宋体" w:cs="宋体"/>
                <w:b/>
                <w:color w:val="auto"/>
                <w:sz w:val="21"/>
                <w:szCs w:val="21"/>
                <w:highlight w:val="none"/>
                <w:lang w:eastAsia="zh-CN"/>
              </w:rPr>
              <w:t>投标材料</w:t>
            </w:r>
            <w:r>
              <w:rPr>
                <w:rFonts w:hint="eastAsia" w:ascii="宋体" w:hAnsi="宋体" w:eastAsia="宋体" w:cs="宋体"/>
                <w:b/>
                <w:color w:val="auto"/>
                <w:sz w:val="21"/>
                <w:szCs w:val="21"/>
                <w:highlight w:val="none"/>
              </w:rPr>
              <w:t>因模糊不清导致评标委员会无法清晰辨认进行评审的，</w:t>
            </w:r>
            <w:r>
              <w:rPr>
                <w:rFonts w:hint="eastAsia" w:ascii="宋体" w:hAnsi="宋体" w:eastAsia="宋体" w:cs="宋体"/>
                <w:b/>
                <w:color w:val="auto"/>
                <w:sz w:val="21"/>
                <w:szCs w:val="21"/>
                <w:highlight w:val="none"/>
                <w:lang w:eastAsia="zh-CN"/>
              </w:rPr>
              <w:t>视为无效材料</w:t>
            </w:r>
            <w:r>
              <w:rPr>
                <w:rFonts w:hint="eastAsia" w:ascii="宋体" w:hAnsi="宋体" w:eastAsia="宋体" w:cs="宋体"/>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价格评审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20分</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1</w:t>
            </w:r>
          </w:p>
        </w:tc>
        <w:tc>
          <w:tcPr>
            <w:tcW w:w="1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监测价格</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Autospacing="0" w:after="0" w:afterAutospacing="0" w:line="240" w:lineRule="auto"/>
              <w:ind w:firstLine="0" w:firstLineChars="0"/>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color w:val="auto"/>
                <w:kern w:val="0"/>
                <w:sz w:val="21"/>
                <w:szCs w:val="21"/>
                <w:highlight w:val="none"/>
                <w:lang w:val="en-US" w:eastAsia="zh-CN"/>
              </w:rPr>
              <w:t>10</w:t>
            </w:r>
          </w:p>
        </w:tc>
        <w:tc>
          <w:tcPr>
            <w:tcW w:w="54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07"/>
              </w:tabs>
              <w:kinsoku/>
              <w:wordWrap/>
              <w:overflowPunct/>
              <w:topLinePunct w:val="0"/>
              <w:bidi w:val="0"/>
              <w:adjustRightInd/>
              <w:snapToGrid/>
              <w:spacing w:beforeAutospacing="0" w:after="0" w:afterAutospacing="0" w:line="240" w:lineRule="auto"/>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价格分计算方法：满足招标文件要求且</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1-投标下浮率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最低的投标报价为评标基准价，其价格分为满分。其他投标人的价格分统一按照下列公式计算：</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投标报价得分=(评标基准价／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1-投标下浮率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)×价格权值（</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kinsoku/>
              <w:wordWrap/>
              <w:overflowPunct/>
              <w:topLinePunct w:val="0"/>
              <w:bidi w:val="0"/>
              <w:spacing w:beforeAutospacing="0" w:after="0" w:afterAutospacing="0" w:line="240" w:lineRule="auto"/>
              <w:ind w:firstLine="0" w:firstLineChars="0"/>
              <w:jc w:val="center"/>
              <w:textAlignment w:val="auto"/>
              <w:rPr>
                <w:rFonts w:hint="default" w:ascii="宋体" w:hAns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2</w:t>
            </w:r>
          </w:p>
        </w:tc>
        <w:tc>
          <w:tcPr>
            <w:tcW w:w="1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Autospacing="0" w:after="0" w:afterAutospacing="0" w:line="24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检测价格</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beforeAutospacing="0" w:after="0" w:afterAutospacing="0" w:line="240" w:lineRule="auto"/>
              <w:ind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w:t>
            </w:r>
          </w:p>
        </w:tc>
        <w:tc>
          <w:tcPr>
            <w:tcW w:w="54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907"/>
              </w:tabs>
              <w:kinsoku/>
              <w:wordWrap/>
              <w:overflowPunct/>
              <w:topLinePunct w:val="0"/>
              <w:bidi w:val="0"/>
              <w:adjustRightInd/>
              <w:snapToGrid/>
              <w:spacing w:beforeAutospacing="0" w:after="0" w:afterAutospacing="0" w:line="240" w:lineRule="auto"/>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价格分计算方法：满足招标文件要求且</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1-投标下浮率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最低的投标报价为评标基准价，其价格分为满分。其他投标人的价格分统一按照下列公式计算：</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投标报价得分=(评标基准价／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1-投标下浮率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)×价格权值（</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w:t>
            </w:r>
          </w:p>
        </w:tc>
      </w:tr>
    </w:tbl>
    <w:p>
      <w:pPr>
        <w:pStyle w:val="3"/>
        <w:spacing w:before="0" w:after="0" w:line="240" w:lineRule="auto"/>
        <w:rPr>
          <w:color w:val="auto"/>
          <w:sz w:val="36"/>
          <w:szCs w:val="36"/>
          <w:highlight w:val="none"/>
        </w:rPr>
      </w:pPr>
      <w:r>
        <w:rPr>
          <w:rFonts w:hint="eastAsia"/>
          <w:color w:val="auto"/>
          <w:sz w:val="28"/>
          <w:szCs w:val="28"/>
          <w:highlight w:val="none"/>
        </w:rPr>
        <w:br w:type="page"/>
      </w:r>
      <w:bookmarkStart w:id="4" w:name="_Toc31854"/>
      <w:r>
        <w:rPr>
          <w:rFonts w:hint="eastAsia"/>
          <w:color w:val="auto"/>
          <w:sz w:val="28"/>
          <w:szCs w:val="28"/>
          <w:highlight w:val="none"/>
        </w:rPr>
        <w:t>第三部分 用户需求书</w:t>
      </w:r>
      <w:bookmarkEnd w:id="4"/>
    </w:p>
    <w:p>
      <w:pPr>
        <w:pStyle w:val="4"/>
        <w:spacing w:before="0" w:after="0" w:line="240" w:lineRule="auto"/>
        <w:jc w:val="center"/>
        <w:rPr>
          <w:rFonts w:ascii="宋体" w:hAnsi="宋体" w:eastAsia="宋体" w:cs="宋体"/>
          <w:color w:val="auto"/>
          <w:sz w:val="24"/>
          <w:szCs w:val="24"/>
          <w:highlight w:val="none"/>
        </w:rPr>
      </w:pPr>
      <w:bookmarkStart w:id="5" w:name="_Toc3968"/>
      <w:r>
        <w:rPr>
          <w:rFonts w:hint="eastAsia" w:ascii="宋体" w:hAnsi="宋体" w:eastAsia="宋体" w:cs="宋体"/>
          <w:color w:val="auto"/>
          <w:sz w:val="24"/>
          <w:szCs w:val="24"/>
          <w:highlight w:val="none"/>
        </w:rPr>
        <w:t>用户需求明细</w:t>
      </w:r>
      <w:bookmarkEnd w:id="5"/>
    </w:p>
    <w:p>
      <w:pPr>
        <w:spacing w:after="0"/>
        <w:jc w:val="both"/>
        <w:rPr>
          <w:rFonts w:ascii="宋体" w:hAnsi="宋体" w:eastAsia="宋体"/>
          <w:b/>
          <w:color w:val="auto"/>
          <w:sz w:val="24"/>
          <w:highlight w:val="none"/>
        </w:rPr>
      </w:pPr>
    </w:p>
    <w:p>
      <w:pPr>
        <w:keepNext w:val="0"/>
        <w:keepLines w:val="0"/>
        <w:pageBreakBefore w:val="0"/>
        <w:kinsoku/>
        <w:wordWrap/>
        <w:overflowPunct/>
        <w:topLinePunct w:val="0"/>
        <w:autoSpaceDE/>
        <w:autoSpaceDN/>
        <w:bidi w:val="0"/>
        <w:spacing w:after="0" w:line="240" w:lineRule="auto"/>
        <w:rPr>
          <w:rFonts w:hint="eastAsia" w:ascii="宋体" w:hAnsi="宋体" w:eastAsia="宋体" w:cs="宋体"/>
          <w:b/>
          <w:bCs/>
          <w:color w:val="auto"/>
          <w:sz w:val="22"/>
          <w:szCs w:val="22"/>
          <w:highlight w:val="none"/>
        </w:rPr>
      </w:pPr>
      <w:bookmarkStart w:id="6" w:name="_Toc13112"/>
      <w:bookmarkStart w:id="7" w:name="_Toc14462"/>
      <w:bookmarkStart w:id="8" w:name="_Toc31278"/>
      <w:bookmarkStart w:id="9" w:name="_Toc24679"/>
      <w:r>
        <w:rPr>
          <w:rFonts w:hint="eastAsia" w:ascii="宋体" w:hAnsi="宋体" w:eastAsia="宋体" w:cs="宋体"/>
          <w:b/>
          <w:bCs/>
          <w:color w:val="auto"/>
          <w:sz w:val="22"/>
          <w:szCs w:val="22"/>
          <w:highlight w:val="none"/>
        </w:rPr>
        <w:t>一、项目概况</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为解决大岭山镇水环境污染间题、提高福大岭山镇</w:t>
      </w:r>
      <w:r>
        <w:rPr>
          <w:rFonts w:hint="eastAsia" w:ascii="宋体" w:hAnsi="宋体" w:eastAsia="宋体" w:cs="宋体"/>
          <w:color w:val="auto"/>
          <w:sz w:val="22"/>
          <w:szCs w:val="22"/>
          <w:highlight w:val="none"/>
          <w:lang w:eastAsia="zh-CN"/>
        </w:rPr>
        <w:t>生态</w:t>
      </w:r>
      <w:r>
        <w:rPr>
          <w:rFonts w:hint="eastAsia" w:ascii="宋体" w:hAnsi="宋体" w:eastAsia="宋体" w:cs="宋体"/>
          <w:color w:val="auto"/>
          <w:sz w:val="22"/>
          <w:szCs w:val="22"/>
          <w:highlight w:val="none"/>
        </w:rPr>
        <w:t>环境质量</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现从源头上对片区内社区雨污错接、混接、倒坡、破损、下沉、管径偏小、堵塞等问题的排水管道进行梳理改造，使污水在源头得以收集或处理，杜绝上游污水污染下游雨水或</w:t>
      </w:r>
      <w:r>
        <w:rPr>
          <w:rFonts w:hint="eastAsia" w:ascii="宋体" w:hAnsi="宋体" w:eastAsia="宋体" w:cs="宋体"/>
          <w:color w:val="auto"/>
          <w:sz w:val="22"/>
          <w:szCs w:val="22"/>
          <w:highlight w:val="none"/>
          <w:lang w:eastAsia="zh-CN"/>
        </w:rPr>
        <w:t>清</w:t>
      </w:r>
      <w:r>
        <w:rPr>
          <w:rFonts w:hint="eastAsia" w:ascii="宋体" w:hAnsi="宋体" w:eastAsia="宋体" w:cs="宋体"/>
          <w:color w:val="auto"/>
          <w:sz w:val="22"/>
          <w:szCs w:val="22"/>
          <w:highlight w:val="none"/>
        </w:rPr>
        <w:t>水，缩小污染范围</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从而使得大岭山镇各社区的污水得到最大限度的收集，达到雨污分流的目标。</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2019年大岭山镇雨污分流管网工程第三方监测、检测及管道电视（CCTV）质量检测服务项目</w:t>
      </w:r>
      <w:r>
        <w:rPr>
          <w:rFonts w:hint="eastAsia" w:ascii="宋体" w:hAnsi="宋体" w:eastAsia="宋体" w:cs="宋体"/>
          <w:color w:val="auto"/>
          <w:sz w:val="22"/>
          <w:szCs w:val="22"/>
          <w:highlight w:val="none"/>
        </w:rPr>
        <w:t>主要包含29个片区，分别为01旧飞鹅村委会片、02香山路片、03鸡公岭片、04连马路片、05边坑路片、06连平村委会、07梅林村委会片、08大龙路片、09新塘村委会片、10大地街片、11横镇西路片、12大环村委会片、13百花洞村委会片、14水</w:t>
      </w:r>
      <w:r>
        <w:rPr>
          <w:rFonts w:hint="eastAsia" w:ascii="宋体" w:hAnsi="宋体" w:eastAsia="宋体" w:cs="宋体"/>
          <w:color w:val="auto"/>
          <w:sz w:val="22"/>
          <w:szCs w:val="22"/>
          <w:highlight w:val="none"/>
          <w:lang w:eastAsia="zh-CN"/>
        </w:rPr>
        <w:t>厂</w:t>
      </w:r>
      <w:r>
        <w:rPr>
          <w:rFonts w:hint="eastAsia" w:ascii="宋体" w:hAnsi="宋体" w:eastAsia="宋体" w:cs="宋体"/>
          <w:color w:val="auto"/>
          <w:sz w:val="22"/>
          <w:szCs w:val="22"/>
          <w:highlight w:val="none"/>
        </w:rPr>
        <w:t>路片、15金揽岭街片、16美花林片、17杨梅墩街片、18中兴路市场片</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19农场村委会片、20长岭街片、21</w:t>
      </w:r>
      <w:r>
        <w:rPr>
          <w:rFonts w:hint="eastAsia" w:ascii="宋体" w:hAnsi="宋体" w:eastAsia="宋体" w:cs="宋体"/>
          <w:color w:val="auto"/>
          <w:sz w:val="22"/>
          <w:szCs w:val="22"/>
          <w:highlight w:val="none"/>
          <w:lang w:eastAsia="zh-CN"/>
        </w:rPr>
        <w:t>井</w:t>
      </w:r>
      <w:r>
        <w:rPr>
          <w:rFonts w:hint="eastAsia" w:ascii="宋体" w:hAnsi="宋体" w:eastAsia="宋体" w:cs="宋体"/>
          <w:color w:val="auto"/>
          <w:sz w:val="22"/>
          <w:szCs w:val="22"/>
          <w:highlight w:val="none"/>
        </w:rPr>
        <w:t>前一路片、</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2大窝正路片、23振华路片、24纵队路片、25运粮街片、26拥军路片、27大塘路片、28健身街片、29东埔新村路片</w:t>
      </w:r>
      <w:r>
        <w:rPr>
          <w:rFonts w:hint="eastAsia" w:ascii="宋体" w:hAnsi="宋体" w:eastAsia="宋体" w:cs="宋体"/>
          <w:color w:val="auto"/>
          <w:sz w:val="22"/>
          <w:szCs w:val="22"/>
          <w:highlight w:val="none"/>
          <w:lang w:eastAsia="zh-CN"/>
        </w:rPr>
        <w:t>。</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项目</w:t>
      </w:r>
      <w:r>
        <w:rPr>
          <w:rFonts w:hint="eastAsia" w:ascii="宋体" w:hAnsi="宋体" w:eastAsia="宋体" w:cs="宋体"/>
          <w:color w:val="auto"/>
          <w:sz w:val="22"/>
          <w:szCs w:val="22"/>
          <w:highlight w:val="none"/>
          <w:lang w:eastAsia="zh-CN"/>
        </w:rPr>
        <w:t>服务</w:t>
      </w:r>
      <w:r>
        <w:rPr>
          <w:rFonts w:hint="eastAsia" w:ascii="宋体" w:hAnsi="宋体" w:eastAsia="宋体" w:cs="宋体"/>
          <w:color w:val="auto"/>
          <w:sz w:val="22"/>
          <w:szCs w:val="22"/>
          <w:highlight w:val="none"/>
        </w:rPr>
        <w:t>范围分布整个大岭山镇，涉及大岭山镇辖区20个村(社区)，范围包括马蹄岗、大塘村、鸡翅岭村、新塘村、大沙村、金桔村、连平村、旧飞鹅村、杨屋村、水朗村、大岭村、矮岭</w:t>
      </w:r>
      <w:r>
        <w:rPr>
          <w:rFonts w:hint="eastAsia" w:ascii="宋体" w:hAnsi="宋体" w:eastAsia="宋体" w:cs="宋体"/>
          <w:color w:val="auto"/>
          <w:sz w:val="22"/>
          <w:szCs w:val="22"/>
          <w:highlight w:val="none"/>
          <w:lang w:eastAsia="zh-CN"/>
        </w:rPr>
        <w:t>山</w:t>
      </w:r>
      <w:r>
        <w:rPr>
          <w:rFonts w:hint="eastAsia" w:ascii="宋体" w:hAnsi="宋体" w:eastAsia="宋体" w:cs="宋体"/>
          <w:color w:val="auto"/>
          <w:sz w:val="22"/>
          <w:szCs w:val="22"/>
          <w:highlight w:val="none"/>
        </w:rPr>
        <w:t>村、农村社区、太公岭、梅林村、下高</w:t>
      </w:r>
      <w:r>
        <w:rPr>
          <w:rFonts w:hint="eastAsia" w:ascii="宋体" w:hAnsi="宋体" w:eastAsia="宋体" w:cs="宋体"/>
          <w:color w:val="auto"/>
          <w:sz w:val="22"/>
          <w:szCs w:val="22"/>
          <w:highlight w:val="none"/>
          <w:lang w:eastAsia="zh-CN"/>
        </w:rPr>
        <w:t>田</w:t>
      </w:r>
      <w:r>
        <w:rPr>
          <w:rFonts w:hint="eastAsia" w:ascii="宋体" w:hAnsi="宋体" w:eastAsia="宋体" w:cs="宋体"/>
          <w:color w:val="auto"/>
          <w:sz w:val="22"/>
          <w:szCs w:val="22"/>
          <w:highlight w:val="none"/>
        </w:rPr>
        <w:t>、大环村、百花洞村、大片美、大岭山社区，总服务面积约为185h</w:t>
      </w:r>
      <w:r>
        <w:rPr>
          <w:rFonts w:hint="eastAsia" w:ascii="宋体" w:hAnsi="宋体" w:eastAsia="宋体" w:cs="宋体"/>
          <w:color w:val="auto"/>
          <w:sz w:val="22"/>
          <w:szCs w:val="22"/>
          <w:highlight w:val="none"/>
          <w:lang w:val="en-US" w:eastAsia="zh-CN"/>
        </w:rPr>
        <w:t>a</w:t>
      </w:r>
      <w:r>
        <w:rPr>
          <w:rFonts w:hint="eastAsia" w:ascii="宋体" w:hAnsi="宋体" w:eastAsia="宋体" w:cs="宋体"/>
          <w:color w:val="auto"/>
          <w:sz w:val="22"/>
          <w:szCs w:val="22"/>
          <w:highlight w:val="none"/>
        </w:rPr>
        <w:t>,设计主支管道管径为DN20O</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DN800(不含建筑立管)，管道总长度约为71.24km,出户管管道为DN100</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DN150,管道长度约为24.43km,建筑立管管径为DN100,管道长度约为60.52km</w:t>
      </w:r>
      <w:r>
        <w:rPr>
          <w:rFonts w:hint="eastAsia" w:ascii="宋体" w:hAnsi="宋体" w:eastAsia="宋体" w:cs="宋体"/>
          <w:color w:val="auto"/>
          <w:sz w:val="22"/>
          <w:szCs w:val="22"/>
          <w:highlight w:val="none"/>
          <w:lang w:eastAsia="zh-CN"/>
        </w:rPr>
        <w:t>。</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p>
    <w:p>
      <w:pPr>
        <w:keepNext w:val="0"/>
        <w:keepLines w:val="0"/>
        <w:pageBreakBefore w:val="0"/>
        <w:kinsoku/>
        <w:wordWrap/>
        <w:overflowPunct/>
        <w:topLinePunct w:val="0"/>
        <w:autoSpaceDE/>
        <w:autoSpaceDN/>
        <w:bidi w:val="0"/>
        <w:spacing w:after="0" w:line="24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二、监测依据</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1、采购人及设计方所提出的监测要求；</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2、《岩土工程勘察报告》电子版；</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3、国家标准《建筑基坑工程监测技术规范》GB 50497-2009；</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4、国家标准《工程测量规范》（GB50026-2007）；</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5、行业标准《建筑变形测量规范》（JGJ 8-2016）；</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6、行业标准《建筑基坑支护技术规范》（JGJ 120-99）；</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7、广东省标准《建筑基坑支护工程技术规程》（DBJ/T15-20-97）；</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8、《国家一、二等水准测量规范》(GB/T 12897-2006)</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9、本监测技术方案。</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bookmarkStart w:id="10" w:name="_Toc525119487"/>
      <w:bookmarkStart w:id="11" w:name="_Toc525118376"/>
      <w:bookmarkStart w:id="12" w:name="_Toc525118298"/>
      <w:r>
        <w:rPr>
          <w:rFonts w:hint="eastAsia" w:ascii="宋体" w:hAnsi="宋体" w:eastAsia="宋体" w:cs="宋体"/>
          <w:color w:val="auto"/>
          <w:sz w:val="22"/>
          <w:szCs w:val="22"/>
          <w:highlight w:val="none"/>
          <w:lang w:val="en-US" w:eastAsia="zh-CN"/>
        </w:rPr>
        <w:t>10、</w:t>
      </w:r>
      <w:r>
        <w:rPr>
          <w:rFonts w:hint="eastAsia" w:ascii="宋体" w:hAnsi="宋体" w:eastAsia="宋体" w:cs="宋体"/>
          <w:color w:val="auto"/>
          <w:sz w:val="22"/>
          <w:szCs w:val="22"/>
          <w:highlight w:val="none"/>
        </w:rPr>
        <w:t>广东省标准《建筑地基基础检测规范》（DBJ/T 15-60-2019）；</w:t>
      </w:r>
      <w:bookmarkEnd w:id="10"/>
      <w:bookmarkEnd w:id="11"/>
      <w:bookmarkEnd w:id="12"/>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bookmarkStart w:id="13" w:name="_Toc525119488"/>
      <w:bookmarkStart w:id="14" w:name="_Toc525118299"/>
      <w:bookmarkStart w:id="15" w:name="_Toc525118377"/>
      <w:r>
        <w:rPr>
          <w:rFonts w:hint="eastAsia" w:ascii="宋体" w:hAnsi="宋体" w:eastAsia="宋体" w:cs="宋体"/>
          <w:color w:val="auto"/>
          <w:sz w:val="22"/>
          <w:szCs w:val="22"/>
          <w:highlight w:val="none"/>
          <w:lang w:val="en-US" w:eastAsia="zh-CN"/>
        </w:rPr>
        <w:t>11、</w:t>
      </w:r>
      <w:r>
        <w:rPr>
          <w:rFonts w:hint="eastAsia" w:ascii="宋体" w:hAnsi="宋体" w:eastAsia="宋体" w:cs="宋体"/>
          <w:color w:val="auto"/>
          <w:sz w:val="22"/>
          <w:szCs w:val="22"/>
          <w:highlight w:val="none"/>
        </w:rPr>
        <w:t>国家行业标准《建筑基桩检测技术规范》（JGJ106-2014）</w:t>
      </w:r>
      <w:bookmarkEnd w:id="13"/>
      <w:bookmarkEnd w:id="14"/>
      <w:bookmarkEnd w:id="15"/>
      <w:r>
        <w:rPr>
          <w:rFonts w:hint="eastAsia" w:ascii="宋体" w:hAnsi="宋体" w:eastAsia="宋体" w:cs="宋体"/>
          <w:color w:val="auto"/>
          <w:sz w:val="22"/>
          <w:szCs w:val="22"/>
          <w:highlight w:val="none"/>
        </w:rPr>
        <w:t>；</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12</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《建筑地基基础工程施工质量验收规范》GB50202-2002。</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13、</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土工试验方法标准</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GB</w:t>
      </w:r>
      <w:r>
        <w:rPr>
          <w:rFonts w:hint="eastAsia" w:ascii="宋体" w:hAnsi="宋体" w:eastAsia="宋体" w:cs="宋体"/>
          <w:color w:val="auto"/>
          <w:sz w:val="22"/>
          <w:szCs w:val="22"/>
          <w:highlight w:val="none"/>
          <w:lang w:val="en-US" w:eastAsia="zh-CN"/>
        </w:rPr>
        <w:t>/T 50123-2019）</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14</w:t>
      </w:r>
      <w:r>
        <w:rPr>
          <w:rFonts w:hint="eastAsia" w:ascii="宋体" w:hAnsi="宋体" w:eastAsia="宋体" w:cs="宋体"/>
          <w:color w:val="auto"/>
          <w:sz w:val="22"/>
          <w:szCs w:val="22"/>
          <w:highlight w:val="none"/>
        </w:rPr>
        <w:t>、《钢结构超声波探伤及质量分级法》JG/T 203-2007；</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15</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钢结构现场检测技术标准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 xml:space="preserve"> GB/T 50621-2010</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16</w:t>
      </w:r>
      <w:r>
        <w:rPr>
          <w:rFonts w:hint="eastAsia" w:ascii="宋体" w:hAnsi="宋体" w:eastAsia="宋体" w:cs="宋体"/>
          <w:color w:val="auto"/>
          <w:sz w:val="22"/>
          <w:szCs w:val="22"/>
          <w:highlight w:val="none"/>
        </w:rPr>
        <w:t>、《钢焊缝手工超声波探伤方法和探伤结果的分级》GB11345-2013；</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p>
    <w:p>
      <w:pPr>
        <w:keepNext w:val="0"/>
        <w:keepLines w:val="0"/>
        <w:pageBreakBefore w:val="0"/>
        <w:kinsoku/>
        <w:wordWrap/>
        <w:overflowPunct/>
        <w:topLinePunct w:val="0"/>
        <w:autoSpaceDE/>
        <w:autoSpaceDN/>
        <w:bidi w:val="0"/>
        <w:spacing w:after="0" w:line="24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三、</w:t>
      </w:r>
      <w:r>
        <w:rPr>
          <w:rFonts w:hint="eastAsia" w:ascii="宋体" w:hAnsi="宋体" w:eastAsia="宋体" w:cs="宋体"/>
          <w:b/>
          <w:bCs/>
          <w:color w:val="auto"/>
          <w:sz w:val="22"/>
          <w:szCs w:val="22"/>
          <w:highlight w:val="none"/>
          <w:lang w:val="en-US" w:eastAsia="zh-CN"/>
        </w:rPr>
        <w:t>检测</w:t>
      </w:r>
      <w:r>
        <w:rPr>
          <w:rFonts w:hint="eastAsia" w:ascii="宋体" w:hAnsi="宋体" w:eastAsia="宋体" w:cs="宋体"/>
          <w:b/>
          <w:bCs/>
          <w:color w:val="auto"/>
          <w:sz w:val="22"/>
          <w:szCs w:val="22"/>
          <w:highlight w:val="none"/>
        </w:rPr>
        <w:t>监测内容及测点布置</w:t>
      </w:r>
    </w:p>
    <w:p>
      <w:pPr>
        <w:spacing w:before="120" w:beforeLines="50" w:after="120" w:afterLines="50" w:line="360" w:lineRule="exact"/>
        <w:rPr>
          <w:rFonts w:hint="eastAsia"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eastAsia="zh-CN"/>
        </w:rPr>
        <w:t>（</w:t>
      </w:r>
      <w:r>
        <w:rPr>
          <w:rFonts w:hint="eastAsia" w:ascii="宋体" w:hAnsi="宋体" w:cs="宋体"/>
          <w:b/>
          <w:bCs/>
          <w:color w:val="auto"/>
          <w:sz w:val="22"/>
          <w:szCs w:val="22"/>
          <w:highlight w:val="none"/>
          <w:lang w:val="en-US" w:eastAsia="zh-CN"/>
        </w:rPr>
        <w:t>一</w:t>
      </w:r>
      <w:r>
        <w:rPr>
          <w:rFonts w:hint="eastAsia" w:ascii="宋体" w:hAnsi="宋体" w:cs="宋体"/>
          <w:b/>
          <w:bCs/>
          <w:color w:val="auto"/>
          <w:sz w:val="22"/>
          <w:szCs w:val="22"/>
          <w:highlight w:val="none"/>
          <w:lang w:eastAsia="zh-CN"/>
        </w:rPr>
        <w:t>）</w:t>
      </w:r>
      <w:r>
        <w:rPr>
          <w:rFonts w:hint="eastAsia" w:ascii="宋体" w:hAnsi="宋体" w:cs="宋体"/>
          <w:b/>
          <w:bCs/>
          <w:color w:val="auto"/>
          <w:sz w:val="22"/>
          <w:szCs w:val="22"/>
          <w:highlight w:val="none"/>
          <w:lang w:val="en-US" w:eastAsia="zh-CN"/>
        </w:rPr>
        <w:t>第三方检测工程量汇总表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1368"/>
        <w:gridCol w:w="3482"/>
        <w:gridCol w:w="1144"/>
        <w:gridCol w:w="1565"/>
        <w:gridCol w:w="963"/>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40" w:hRule="atLeast"/>
          <w:jc w:val="center"/>
        </w:trPr>
        <w:tc>
          <w:tcPr>
            <w:tcW w:w="1368" w:type="dxa"/>
            <w:tcBorders>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序号</w:t>
            </w:r>
          </w:p>
        </w:tc>
        <w:tc>
          <w:tcPr>
            <w:tcW w:w="3482" w:type="dxa"/>
            <w:tcBorders>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项目名称</w:t>
            </w:r>
          </w:p>
        </w:tc>
        <w:tc>
          <w:tcPr>
            <w:tcW w:w="1144" w:type="dxa"/>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单位</w:t>
            </w:r>
          </w:p>
        </w:tc>
        <w:tc>
          <w:tcPr>
            <w:tcW w:w="1565" w:type="dxa"/>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数量</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38" w:hRule="atLeast"/>
          <w:jc w:val="center"/>
        </w:trPr>
        <w:tc>
          <w:tcPr>
            <w:tcW w:w="1368" w:type="dxa"/>
            <w:tcBorders>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w:t>
            </w:r>
          </w:p>
        </w:tc>
        <w:tc>
          <w:tcPr>
            <w:tcW w:w="3482" w:type="dxa"/>
            <w:tcBorders>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CCTV管网检测</w:t>
            </w:r>
          </w:p>
        </w:tc>
        <w:tc>
          <w:tcPr>
            <w:tcW w:w="1144" w:type="dxa"/>
            <w:tcBorders>
              <w:left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米</w:t>
            </w:r>
          </w:p>
        </w:tc>
        <w:tc>
          <w:tcPr>
            <w:tcW w:w="156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45651</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38" w:hRule="atLeast"/>
          <w:jc w:val="center"/>
        </w:trPr>
        <w:tc>
          <w:tcPr>
            <w:tcW w:w="1368" w:type="dxa"/>
            <w:tcBorders>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rPr>
              <w:t>2</w:t>
            </w:r>
          </w:p>
        </w:tc>
        <w:tc>
          <w:tcPr>
            <w:tcW w:w="3482" w:type="dxa"/>
            <w:tcBorders>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闭水试验</w:t>
            </w:r>
          </w:p>
        </w:tc>
        <w:tc>
          <w:tcPr>
            <w:tcW w:w="1144" w:type="dxa"/>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米</w:t>
            </w:r>
          </w:p>
        </w:tc>
        <w:tc>
          <w:tcPr>
            <w:tcW w:w="156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6840</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7" w:hRule="exact"/>
          <w:jc w:val="center"/>
        </w:trPr>
        <w:tc>
          <w:tcPr>
            <w:tcW w:w="1368" w:type="dxa"/>
            <w:tcBorders>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rPr>
              <w:t>3</w:t>
            </w:r>
          </w:p>
        </w:tc>
        <w:tc>
          <w:tcPr>
            <w:tcW w:w="3482" w:type="dxa"/>
            <w:tcBorders>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eastAsia="zh-CN"/>
              </w:rPr>
            </w:pPr>
            <w:r>
              <w:rPr>
                <w:rFonts w:hint="eastAsia" w:ascii="宋体" w:hAnsi="宋体" w:eastAsia="宋体" w:cs="宋体"/>
                <w:i w:val="0"/>
                <w:color w:val="auto"/>
                <w:kern w:val="0"/>
                <w:sz w:val="21"/>
                <w:szCs w:val="21"/>
                <w:highlight w:val="none"/>
                <w:u w:val="none"/>
                <w:lang w:val="en-US" w:eastAsia="zh-CN" w:bidi="ar"/>
              </w:rPr>
              <w:t>轻型触探</w:t>
            </w:r>
          </w:p>
        </w:tc>
        <w:tc>
          <w:tcPr>
            <w:tcW w:w="1144" w:type="dxa"/>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米</w:t>
            </w:r>
          </w:p>
        </w:tc>
        <w:tc>
          <w:tcPr>
            <w:tcW w:w="156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3852</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7" w:hRule="exact"/>
          <w:jc w:val="center"/>
        </w:trPr>
        <w:tc>
          <w:tcPr>
            <w:tcW w:w="1368" w:type="dxa"/>
            <w:tcBorders>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rPr>
              <w:t>4</w:t>
            </w:r>
          </w:p>
        </w:tc>
        <w:tc>
          <w:tcPr>
            <w:tcW w:w="3482" w:type="dxa"/>
            <w:tcBorders>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eastAsia="zh-CN"/>
              </w:rPr>
            </w:pPr>
            <w:r>
              <w:rPr>
                <w:rFonts w:hint="eastAsia" w:ascii="宋体" w:hAnsi="宋体" w:eastAsia="宋体" w:cs="宋体"/>
                <w:i w:val="0"/>
                <w:color w:val="auto"/>
                <w:kern w:val="0"/>
                <w:sz w:val="21"/>
                <w:szCs w:val="21"/>
                <w:highlight w:val="none"/>
                <w:u w:val="none"/>
                <w:lang w:val="en-US" w:eastAsia="zh-CN" w:bidi="ar"/>
              </w:rPr>
              <w:t>击实</w:t>
            </w:r>
          </w:p>
        </w:tc>
        <w:tc>
          <w:tcPr>
            <w:tcW w:w="1144" w:type="dxa"/>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组</w:t>
            </w:r>
          </w:p>
        </w:tc>
        <w:tc>
          <w:tcPr>
            <w:tcW w:w="156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20</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7" w:hRule="exact"/>
          <w:jc w:val="center"/>
        </w:trPr>
        <w:tc>
          <w:tcPr>
            <w:tcW w:w="1368" w:type="dxa"/>
            <w:tcBorders>
              <w:right w:val="single" w:color="auto" w:sz="4" w:space="0"/>
            </w:tcBorders>
            <w:noWrap w:val="0"/>
            <w:vAlign w:val="center"/>
          </w:tcPr>
          <w:p>
            <w:pPr>
              <w:widowControl/>
              <w:jc w:val="center"/>
              <w:rPr>
                <w:rFonts w:hint="default"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rPr>
              <w:t>5</w:t>
            </w:r>
          </w:p>
        </w:tc>
        <w:tc>
          <w:tcPr>
            <w:tcW w:w="3482" w:type="dxa"/>
            <w:tcBorders>
              <w:right w:val="single" w:color="auto" w:sz="4" w:space="0"/>
            </w:tcBorders>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压实度（管道回填）</w:t>
            </w:r>
          </w:p>
        </w:tc>
        <w:tc>
          <w:tcPr>
            <w:tcW w:w="1144" w:type="dxa"/>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点</w:t>
            </w:r>
          </w:p>
        </w:tc>
        <w:tc>
          <w:tcPr>
            <w:tcW w:w="156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5333</w:t>
            </w:r>
          </w:p>
        </w:tc>
        <w:tc>
          <w:tcPr>
            <w:tcW w:w="963" w:type="dxa"/>
            <w:tcBorders>
              <w:left w:val="single" w:color="auto" w:sz="4" w:space="0"/>
            </w:tcBorders>
            <w:noWrap w:val="0"/>
            <w:vAlign w:val="center"/>
          </w:tcPr>
          <w:p>
            <w:pPr>
              <w:widowControl/>
              <w:jc w:val="center"/>
              <w:rPr>
                <w:rFonts w:hint="default" w:asciiTheme="minorEastAsia" w:hAnsiTheme="minorEastAsia" w:eastAsiaTheme="minorEastAsia" w:cstheme="minorEastAsia"/>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7" w:hRule="exact"/>
          <w:jc w:val="center"/>
        </w:trPr>
        <w:tc>
          <w:tcPr>
            <w:tcW w:w="1368" w:type="dxa"/>
            <w:tcBorders>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rPr>
              <w:t>6</w:t>
            </w:r>
          </w:p>
        </w:tc>
        <w:tc>
          <w:tcPr>
            <w:tcW w:w="3482" w:type="dxa"/>
            <w:tcBorders>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钢管焊缝探伤</w:t>
            </w:r>
          </w:p>
        </w:tc>
        <w:tc>
          <w:tcPr>
            <w:tcW w:w="1144" w:type="dxa"/>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米</w:t>
            </w:r>
          </w:p>
        </w:tc>
        <w:tc>
          <w:tcPr>
            <w:tcW w:w="156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600</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7" w:hRule="exact"/>
          <w:jc w:val="center"/>
        </w:trPr>
        <w:tc>
          <w:tcPr>
            <w:tcW w:w="1368" w:type="dxa"/>
            <w:tcBorders>
              <w:right w:val="single" w:color="auto" w:sz="4" w:space="0"/>
            </w:tcBorders>
            <w:noWrap w:val="0"/>
            <w:vAlign w:val="center"/>
          </w:tcPr>
          <w:p>
            <w:pPr>
              <w:widowControl/>
              <w:jc w:val="center"/>
              <w:rPr>
                <w:rFonts w:hint="default"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rPr>
              <w:t>7</w:t>
            </w:r>
          </w:p>
        </w:tc>
        <w:tc>
          <w:tcPr>
            <w:tcW w:w="3482" w:type="dxa"/>
            <w:tcBorders>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管件管材</w:t>
            </w:r>
          </w:p>
        </w:tc>
        <w:tc>
          <w:tcPr>
            <w:tcW w:w="1144" w:type="dxa"/>
            <w:tcBorders>
              <w:left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组</w:t>
            </w:r>
          </w:p>
        </w:tc>
        <w:tc>
          <w:tcPr>
            <w:tcW w:w="156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40</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7" w:hRule="exact"/>
          <w:jc w:val="center"/>
        </w:trPr>
        <w:tc>
          <w:tcPr>
            <w:tcW w:w="1368" w:type="dxa"/>
            <w:tcBorders>
              <w:right w:val="single" w:color="auto" w:sz="4" w:space="0"/>
            </w:tcBorders>
            <w:noWrap w:val="0"/>
            <w:vAlign w:val="center"/>
          </w:tcPr>
          <w:p>
            <w:pPr>
              <w:widowControl/>
              <w:jc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8</w:t>
            </w:r>
          </w:p>
        </w:tc>
        <w:tc>
          <w:tcPr>
            <w:tcW w:w="3482" w:type="dxa"/>
            <w:tcBorders>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井盖水箅</w:t>
            </w:r>
          </w:p>
        </w:tc>
        <w:tc>
          <w:tcPr>
            <w:tcW w:w="1144" w:type="dxa"/>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组</w:t>
            </w:r>
          </w:p>
        </w:tc>
        <w:tc>
          <w:tcPr>
            <w:tcW w:w="156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sz w:val="21"/>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20</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7" w:hRule="exact"/>
          <w:jc w:val="center"/>
        </w:trPr>
        <w:tc>
          <w:tcPr>
            <w:tcW w:w="1368" w:type="dxa"/>
            <w:tcBorders>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rPr>
              <w:t>9</w:t>
            </w:r>
          </w:p>
        </w:tc>
        <w:tc>
          <w:tcPr>
            <w:tcW w:w="3482"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压实度（水泥稳定层）</w:t>
            </w:r>
          </w:p>
        </w:tc>
        <w:tc>
          <w:tcPr>
            <w:tcW w:w="1144" w:type="dxa"/>
            <w:tcBorders>
              <w:left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点</w:t>
            </w:r>
          </w:p>
        </w:tc>
        <w:tc>
          <w:tcPr>
            <w:tcW w:w="156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120</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7" w:hRule="exact"/>
          <w:jc w:val="center"/>
        </w:trPr>
        <w:tc>
          <w:tcPr>
            <w:tcW w:w="1368" w:type="dxa"/>
            <w:tcBorders>
              <w:right w:val="single" w:color="auto" w:sz="4" w:space="0"/>
            </w:tcBorders>
            <w:noWrap w:val="0"/>
            <w:vAlign w:val="center"/>
          </w:tcPr>
          <w:p>
            <w:pPr>
              <w:widowControl/>
              <w:jc w:val="center"/>
              <w:rPr>
                <w:rFonts w:hint="default"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rPr>
              <w:t>10</w:t>
            </w:r>
          </w:p>
        </w:tc>
        <w:tc>
          <w:tcPr>
            <w:tcW w:w="3482" w:type="dxa"/>
            <w:tcBorders>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水泥稳定层厚度抽芯</w:t>
            </w:r>
          </w:p>
        </w:tc>
        <w:tc>
          <w:tcPr>
            <w:tcW w:w="1144" w:type="dxa"/>
            <w:tcBorders>
              <w:left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点</w:t>
            </w:r>
          </w:p>
        </w:tc>
        <w:tc>
          <w:tcPr>
            <w:tcW w:w="156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40</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7" w:hRule="exact"/>
          <w:jc w:val="center"/>
        </w:trPr>
        <w:tc>
          <w:tcPr>
            <w:tcW w:w="1368" w:type="dxa"/>
            <w:tcBorders>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rPr>
              <w:t>11</w:t>
            </w:r>
          </w:p>
        </w:tc>
        <w:tc>
          <w:tcPr>
            <w:tcW w:w="3482" w:type="dxa"/>
            <w:tcBorders>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水泥稳定层7天无侧限抗压强度</w:t>
            </w:r>
          </w:p>
        </w:tc>
        <w:tc>
          <w:tcPr>
            <w:tcW w:w="1144" w:type="dxa"/>
            <w:tcBorders>
              <w:left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组</w:t>
            </w:r>
          </w:p>
        </w:tc>
        <w:tc>
          <w:tcPr>
            <w:tcW w:w="156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7" w:hRule="exact"/>
          <w:jc w:val="center"/>
        </w:trPr>
        <w:tc>
          <w:tcPr>
            <w:tcW w:w="1368" w:type="dxa"/>
            <w:tcBorders>
              <w:right w:val="single" w:color="auto" w:sz="4" w:space="0"/>
            </w:tcBorders>
            <w:noWrap w:val="0"/>
            <w:vAlign w:val="center"/>
          </w:tcPr>
          <w:p>
            <w:pPr>
              <w:widowControl/>
              <w:jc w:val="center"/>
              <w:rPr>
                <w:rFonts w:hint="default"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rPr>
              <w:t>12</w:t>
            </w:r>
          </w:p>
        </w:tc>
        <w:tc>
          <w:tcPr>
            <w:tcW w:w="3482" w:type="dxa"/>
            <w:tcBorders>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路面厚度抽芯</w:t>
            </w:r>
          </w:p>
        </w:tc>
        <w:tc>
          <w:tcPr>
            <w:tcW w:w="1144" w:type="dxa"/>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val="en-US" w:eastAsia="zh-CN"/>
              </w:rPr>
              <w:t>点</w:t>
            </w:r>
          </w:p>
        </w:tc>
        <w:tc>
          <w:tcPr>
            <w:tcW w:w="156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40</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7" w:hRule="exact"/>
          <w:jc w:val="center"/>
        </w:trPr>
        <w:tc>
          <w:tcPr>
            <w:tcW w:w="1368" w:type="dxa"/>
            <w:tcBorders>
              <w:right w:val="single" w:color="auto" w:sz="4" w:space="0"/>
            </w:tcBorders>
            <w:noWrap w:val="0"/>
            <w:vAlign w:val="center"/>
          </w:tcPr>
          <w:p>
            <w:pPr>
              <w:widowControl/>
              <w:jc w:val="center"/>
              <w:rPr>
                <w:rFonts w:hint="default"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13</w:t>
            </w:r>
          </w:p>
        </w:tc>
        <w:tc>
          <w:tcPr>
            <w:tcW w:w="3482" w:type="dxa"/>
            <w:tcBorders>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路面混凝土抗折强度检测</w:t>
            </w:r>
          </w:p>
        </w:tc>
        <w:tc>
          <w:tcPr>
            <w:tcW w:w="1144" w:type="dxa"/>
            <w:tcBorders>
              <w:left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点</w:t>
            </w:r>
          </w:p>
        </w:tc>
        <w:tc>
          <w:tcPr>
            <w:tcW w:w="156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p>
        </w:tc>
      </w:tr>
    </w:tbl>
    <w:p>
      <w:pPr>
        <w:spacing w:before="120" w:beforeLines="50" w:after="120" w:afterLines="50" w:line="360" w:lineRule="exact"/>
        <w:rPr>
          <w:rFonts w:hint="default" w:ascii="宋体" w:hAnsi="宋体" w:cs="宋体"/>
          <w:b/>
          <w:bCs/>
          <w:color w:val="auto"/>
          <w:sz w:val="22"/>
          <w:szCs w:val="22"/>
          <w:highlight w:val="none"/>
          <w:lang w:val="en-US" w:eastAsia="zh-CN"/>
        </w:rPr>
      </w:pPr>
    </w:p>
    <w:p>
      <w:pPr>
        <w:spacing w:line="360" w:lineRule="exact"/>
        <w:ind w:firstLine="440" w:firstLineChars="200"/>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（二）第三方监测工程量汇总表：</w:t>
      </w:r>
    </w:p>
    <w:p>
      <w:pPr>
        <w:spacing w:line="3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lang w:eastAsia="zh-CN"/>
        </w:rPr>
        <w:t xml:space="preserve"> </w:t>
      </w:r>
      <w:r>
        <w:rPr>
          <w:rFonts w:hint="eastAsia" w:ascii="宋体" w:hAnsi="宋体" w:cs="宋体"/>
          <w:color w:val="auto"/>
          <w:sz w:val="22"/>
          <w:szCs w:val="22"/>
          <w:highlight w:val="none"/>
        </w:rPr>
        <w:t>观测点埋设</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1368"/>
        <w:gridCol w:w="3482"/>
        <w:gridCol w:w="1144"/>
        <w:gridCol w:w="1565"/>
        <w:gridCol w:w="963"/>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40" w:hRule="atLeast"/>
          <w:jc w:val="center"/>
        </w:trPr>
        <w:tc>
          <w:tcPr>
            <w:tcW w:w="1368" w:type="dxa"/>
            <w:tcBorders>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序号</w:t>
            </w:r>
          </w:p>
        </w:tc>
        <w:tc>
          <w:tcPr>
            <w:tcW w:w="3482" w:type="dxa"/>
            <w:tcBorders>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项目名称</w:t>
            </w:r>
          </w:p>
        </w:tc>
        <w:tc>
          <w:tcPr>
            <w:tcW w:w="1144" w:type="dxa"/>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单位</w:t>
            </w:r>
          </w:p>
        </w:tc>
        <w:tc>
          <w:tcPr>
            <w:tcW w:w="1565" w:type="dxa"/>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数量</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38" w:hRule="atLeast"/>
          <w:jc w:val="center"/>
        </w:trPr>
        <w:tc>
          <w:tcPr>
            <w:tcW w:w="1368" w:type="dxa"/>
            <w:tcBorders>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w:t>
            </w:r>
          </w:p>
        </w:tc>
        <w:tc>
          <w:tcPr>
            <w:tcW w:w="3482" w:type="dxa"/>
            <w:tcBorders>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水平</w:t>
            </w:r>
            <w:r>
              <w:rPr>
                <w:rFonts w:hint="eastAsia" w:asciiTheme="minorEastAsia" w:hAnsiTheme="minorEastAsia" w:eastAsiaTheme="minorEastAsia" w:cstheme="minorEastAsia"/>
                <w:color w:val="auto"/>
                <w:kern w:val="0"/>
                <w:sz w:val="21"/>
                <w:szCs w:val="21"/>
                <w:highlight w:val="none"/>
              </w:rPr>
              <w:t>位移</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竖向位移</w:t>
            </w:r>
            <w:r>
              <w:rPr>
                <w:rFonts w:hint="eastAsia" w:asciiTheme="minorEastAsia" w:hAnsiTheme="minorEastAsia" w:eastAsiaTheme="minorEastAsia" w:cstheme="minorEastAsia"/>
                <w:color w:val="auto"/>
                <w:kern w:val="0"/>
                <w:sz w:val="21"/>
                <w:szCs w:val="21"/>
                <w:highlight w:val="none"/>
              </w:rPr>
              <w:t>观测点埋设及辅助材料</w:t>
            </w:r>
          </w:p>
        </w:tc>
        <w:tc>
          <w:tcPr>
            <w:tcW w:w="1144" w:type="dxa"/>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点</w:t>
            </w:r>
          </w:p>
        </w:tc>
        <w:tc>
          <w:tcPr>
            <w:tcW w:w="1565"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2821</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7" w:hRule="exact"/>
          <w:jc w:val="center"/>
        </w:trPr>
        <w:tc>
          <w:tcPr>
            <w:tcW w:w="1368" w:type="dxa"/>
            <w:tcBorders>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w:t>
            </w:r>
          </w:p>
        </w:tc>
        <w:tc>
          <w:tcPr>
            <w:tcW w:w="3482" w:type="dxa"/>
            <w:tcBorders>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基准点埋设费</w:t>
            </w:r>
          </w:p>
        </w:tc>
        <w:tc>
          <w:tcPr>
            <w:tcW w:w="1144" w:type="dxa"/>
            <w:tcBorders>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点</w:t>
            </w:r>
          </w:p>
        </w:tc>
        <w:tc>
          <w:tcPr>
            <w:tcW w:w="1565"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60</w:t>
            </w:r>
          </w:p>
        </w:tc>
        <w:tc>
          <w:tcPr>
            <w:tcW w:w="963" w:type="dxa"/>
            <w:tcBorders>
              <w:lef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r>
    </w:tbl>
    <w:p>
      <w:pPr>
        <w:spacing w:line="360" w:lineRule="exact"/>
        <w:ind w:firstLine="440" w:firstLineChars="200"/>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2.监测工程量表</w:t>
      </w:r>
    </w:p>
    <w:tbl>
      <w:tblPr>
        <w:tblStyle w:val="16"/>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980"/>
        <w:gridCol w:w="1705"/>
        <w:gridCol w:w="1706"/>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1431"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序号</w:t>
            </w:r>
          </w:p>
        </w:tc>
        <w:tc>
          <w:tcPr>
            <w:tcW w:w="1980"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项目名称</w:t>
            </w:r>
          </w:p>
        </w:tc>
        <w:tc>
          <w:tcPr>
            <w:tcW w:w="1705"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单位</w:t>
            </w:r>
          </w:p>
        </w:tc>
        <w:tc>
          <w:tcPr>
            <w:tcW w:w="1706"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数量</w:t>
            </w:r>
          </w:p>
        </w:tc>
        <w:tc>
          <w:tcPr>
            <w:tcW w:w="1697" w:type="dxa"/>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hAnsi="宋体" w:cs="宋体"/>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1431"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p>
        </w:tc>
        <w:tc>
          <w:tcPr>
            <w:tcW w:w="1980" w:type="dxa"/>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高程基准网测量及复测</w:t>
            </w:r>
          </w:p>
        </w:tc>
        <w:tc>
          <w:tcPr>
            <w:tcW w:w="1705"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公里</w:t>
            </w:r>
          </w:p>
        </w:tc>
        <w:tc>
          <w:tcPr>
            <w:tcW w:w="1706" w:type="dxa"/>
            <w:noWrap w:val="0"/>
            <w:vAlign w:val="center"/>
          </w:tcPr>
          <w:p>
            <w:pPr>
              <w:widowControl/>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rPr>
              <w:t>71.24</w:t>
            </w:r>
          </w:p>
        </w:tc>
        <w:tc>
          <w:tcPr>
            <w:tcW w:w="1697" w:type="dxa"/>
            <w:noWrap w:val="0"/>
            <w:vAlign w:val="center"/>
          </w:tcPr>
          <w:p>
            <w:pPr>
              <w:jc w:val="center"/>
              <w:rPr>
                <w:rFonts w:hint="eastAsia"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1431"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p>
        </w:tc>
        <w:tc>
          <w:tcPr>
            <w:tcW w:w="1980" w:type="dxa"/>
            <w:noWrap w:val="0"/>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水平位移基准点及复测</w:t>
            </w:r>
          </w:p>
        </w:tc>
        <w:tc>
          <w:tcPr>
            <w:tcW w:w="1705" w:type="dxa"/>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点.次</w:t>
            </w:r>
          </w:p>
        </w:tc>
        <w:tc>
          <w:tcPr>
            <w:tcW w:w="1706" w:type="dxa"/>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120</w:t>
            </w:r>
          </w:p>
        </w:tc>
        <w:tc>
          <w:tcPr>
            <w:tcW w:w="1697" w:type="dxa"/>
            <w:noWrap w:val="0"/>
            <w:vAlign w:val="center"/>
          </w:tcPr>
          <w:p>
            <w:pPr>
              <w:jc w:val="center"/>
              <w:rPr>
                <w:rFonts w:hint="eastAsia"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31"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p>
        </w:tc>
        <w:tc>
          <w:tcPr>
            <w:tcW w:w="1980"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水平</w:t>
            </w:r>
            <w:r>
              <w:rPr>
                <w:rFonts w:hint="eastAsia" w:ascii="宋体" w:hAnsi="宋体" w:eastAsia="宋体" w:cs="宋体"/>
                <w:color w:val="auto"/>
                <w:kern w:val="0"/>
                <w:sz w:val="21"/>
                <w:szCs w:val="21"/>
                <w:highlight w:val="none"/>
              </w:rPr>
              <w:t>位移监测</w:t>
            </w:r>
          </w:p>
        </w:tc>
        <w:tc>
          <w:tcPr>
            <w:tcW w:w="1705"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点·次</w:t>
            </w:r>
          </w:p>
        </w:tc>
        <w:tc>
          <w:tcPr>
            <w:tcW w:w="1706" w:type="dxa"/>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3790</w:t>
            </w:r>
          </w:p>
        </w:tc>
        <w:tc>
          <w:tcPr>
            <w:tcW w:w="1697" w:type="dxa"/>
            <w:noWrap w:val="0"/>
            <w:vAlign w:val="center"/>
          </w:tcPr>
          <w:p>
            <w:pPr>
              <w:jc w:val="center"/>
              <w:rPr>
                <w:rFonts w:hint="eastAsia"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31" w:type="dxa"/>
            <w:noWrap w:val="0"/>
            <w:vAlign w:val="center"/>
          </w:tcPr>
          <w:p>
            <w:pPr>
              <w:widowControl/>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p>
        </w:tc>
        <w:tc>
          <w:tcPr>
            <w:tcW w:w="1980"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竖向位移</w:t>
            </w:r>
            <w:r>
              <w:rPr>
                <w:rFonts w:hint="eastAsia" w:ascii="宋体" w:hAnsi="宋体" w:eastAsia="宋体" w:cs="宋体"/>
                <w:color w:val="auto"/>
                <w:kern w:val="0"/>
                <w:sz w:val="21"/>
                <w:szCs w:val="21"/>
                <w:highlight w:val="none"/>
              </w:rPr>
              <w:t>监测</w:t>
            </w:r>
          </w:p>
        </w:tc>
        <w:tc>
          <w:tcPr>
            <w:tcW w:w="1705" w:type="dxa"/>
            <w:noWrap w:val="0"/>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点·次</w:t>
            </w:r>
          </w:p>
        </w:tc>
        <w:tc>
          <w:tcPr>
            <w:tcW w:w="1706" w:type="dxa"/>
            <w:noWrap w:val="0"/>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9640</w:t>
            </w:r>
          </w:p>
        </w:tc>
        <w:tc>
          <w:tcPr>
            <w:tcW w:w="1697" w:type="dxa"/>
            <w:noWrap w:val="0"/>
            <w:vAlign w:val="center"/>
          </w:tcPr>
          <w:p>
            <w:pPr>
              <w:jc w:val="center"/>
              <w:rPr>
                <w:rFonts w:hint="eastAsia" w:hAnsi="宋体" w:cs="宋体"/>
                <w:color w:val="auto"/>
                <w:sz w:val="21"/>
                <w:szCs w:val="21"/>
                <w:highlight w:val="none"/>
                <w:lang w:val="en-US" w:eastAsia="zh-CN"/>
              </w:rPr>
            </w:pPr>
          </w:p>
        </w:tc>
      </w:tr>
    </w:tbl>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建筑基坑工程监测技术规范》的要求，围护墙或基坑边坡顶部监测点水平间距不宜大于20m，每边监测点数目不宜少于3个；道路监测点平面间距宜为15~25m；建筑物沉降观测点沿建筑四角及外墙每10~15m或每隔2~3根柱基上。本项目基坑监测及主体的监测点数量和间距均</w:t>
      </w:r>
      <w:r>
        <w:rPr>
          <w:rFonts w:hint="eastAsia" w:ascii="宋体" w:hAnsi="宋体" w:eastAsia="宋体" w:cs="宋体"/>
          <w:color w:val="auto"/>
          <w:sz w:val="22"/>
          <w:szCs w:val="22"/>
          <w:highlight w:val="none"/>
          <w:lang w:eastAsia="zh-CN"/>
        </w:rPr>
        <w:t>须</w:t>
      </w:r>
      <w:r>
        <w:rPr>
          <w:rFonts w:hint="eastAsia" w:ascii="宋体" w:hAnsi="宋体" w:eastAsia="宋体" w:cs="宋体"/>
          <w:color w:val="auto"/>
          <w:sz w:val="22"/>
          <w:szCs w:val="22"/>
          <w:highlight w:val="none"/>
        </w:rPr>
        <w:t>满足规范要求。</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各监测点位置，如在施工布点有困难时，可根据施工现场情况作适当调整。</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除此之外，在基坑工程施工和使用期内，由项目负责人（1人）带队，每天派专人进行巡视检查，巡查内容包括：</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1、支护结构：1)支护结构成型质量；2) 冠梁、围檩、支撑有无裂缝出现；3) 支撑有无较大变形；4) 止水帷幕有无开裂、渗漏；5) 墙后士体有无裂缝、沉陷及滑移；6）基坑有无涌土、流沙、管涌。</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施工工况：1)开挖后暴露的土质情况与岩土勘察报告有无差异；2)基坑开挖分段长度、分层厚度是否与设计要求一致；3)场地地表水、地下水排放状况是否正常，基坑降水、回灌设施是否运转正常；4)基坑周边地面有无超载。</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3、周边环境：1)周边管道有无破损、泄漏情况；2)周边建筑有无新增裂缝出现；3)周边道路(地面)有无裂缝、沉陷；4)邻近基坑及建筑的施工变化情况。</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4、监测设施：1)基准点、监测点完好状况；2)监测元件的完好及保护情况；3)有无影响观测工作的障碍物。</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5、根据设计要求或当地经验确定的其他巡视检夜内容。检查记录应及时整理，并与仪器监测数据进行综合分析。巡视检查如发现异常和危险情况，应及时通知建设方及施工、监理等相关单位。</w:t>
      </w:r>
    </w:p>
    <w:p>
      <w:pPr>
        <w:pStyle w:val="2"/>
        <w:rPr>
          <w:rFonts w:hint="eastAsia"/>
          <w:color w:val="auto"/>
          <w:highlight w:val="none"/>
        </w:rPr>
      </w:pPr>
    </w:p>
    <w:p>
      <w:pPr>
        <w:keepNext w:val="0"/>
        <w:keepLines w:val="0"/>
        <w:pageBreakBefore w:val="0"/>
        <w:kinsoku/>
        <w:wordWrap/>
        <w:overflowPunct/>
        <w:topLinePunct w:val="0"/>
        <w:autoSpaceDE/>
        <w:autoSpaceDN/>
        <w:bidi w:val="0"/>
        <w:spacing w:after="0" w:line="24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四、监测资料的反馈</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监测资料采用动态反馈。在基坑开挖卸载阶段，在现场测试时，若发现位移、沉降等出现异常或达到（超过）警戒值时，立即口头向监理或采购人报告，并及时出具监测结果通知监理和采购人；一般情况（围护结构处于正常状态）在外业工作结束后3日内向监理或采购人提交监测简报一式三份；全部监测工作完成，15天内提交正式监测报告一式五份。</w:t>
      </w:r>
    </w:p>
    <w:p>
      <w:pPr>
        <w:pStyle w:val="2"/>
        <w:rPr>
          <w:rFonts w:hint="eastAsia"/>
          <w:color w:val="auto"/>
          <w:highlight w:val="none"/>
        </w:rPr>
      </w:pPr>
    </w:p>
    <w:p>
      <w:pPr>
        <w:keepNext w:val="0"/>
        <w:keepLines w:val="0"/>
        <w:pageBreakBefore w:val="0"/>
        <w:kinsoku/>
        <w:wordWrap/>
        <w:overflowPunct/>
        <w:topLinePunct w:val="0"/>
        <w:autoSpaceDE/>
        <w:autoSpaceDN/>
        <w:bidi w:val="0"/>
        <w:spacing w:after="0" w:line="240" w:lineRule="auto"/>
        <w:rPr>
          <w:rFonts w:hint="eastAsia" w:ascii="宋体" w:hAnsi="宋体" w:eastAsia="宋体" w:cs="宋体"/>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五、检测资料的</w:t>
      </w:r>
      <w:r>
        <w:rPr>
          <w:rFonts w:hint="eastAsia" w:ascii="宋体" w:hAnsi="宋体" w:eastAsia="宋体" w:cs="宋体"/>
          <w:b/>
          <w:bCs/>
          <w:color w:val="auto"/>
          <w:sz w:val="22"/>
          <w:szCs w:val="22"/>
          <w:highlight w:val="none"/>
        </w:rPr>
        <w:t>反馈</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在现场</w:t>
      </w:r>
      <w:r>
        <w:rPr>
          <w:rFonts w:hint="eastAsia" w:ascii="宋体" w:hAnsi="宋体" w:eastAsia="宋体" w:cs="宋体"/>
          <w:color w:val="auto"/>
          <w:sz w:val="22"/>
          <w:szCs w:val="22"/>
          <w:highlight w:val="none"/>
          <w:lang w:eastAsia="zh-CN"/>
        </w:rPr>
        <w:t>检测</w:t>
      </w:r>
      <w:r>
        <w:rPr>
          <w:rFonts w:hint="eastAsia" w:ascii="宋体" w:hAnsi="宋体" w:eastAsia="宋体" w:cs="宋体"/>
          <w:color w:val="auto"/>
          <w:sz w:val="22"/>
          <w:szCs w:val="22"/>
          <w:highlight w:val="none"/>
        </w:rPr>
        <w:t>时，若发现异常</w:t>
      </w:r>
      <w:r>
        <w:rPr>
          <w:rFonts w:hint="eastAsia" w:ascii="宋体" w:hAnsi="宋体" w:eastAsia="宋体" w:cs="宋体"/>
          <w:color w:val="auto"/>
          <w:sz w:val="22"/>
          <w:szCs w:val="22"/>
          <w:highlight w:val="none"/>
          <w:lang w:eastAsia="zh-CN"/>
        </w:rPr>
        <w:t>情况</w:t>
      </w:r>
      <w:r>
        <w:rPr>
          <w:rFonts w:hint="eastAsia" w:ascii="宋体" w:hAnsi="宋体" w:eastAsia="宋体" w:cs="宋体"/>
          <w:color w:val="auto"/>
          <w:sz w:val="22"/>
          <w:szCs w:val="22"/>
          <w:highlight w:val="none"/>
        </w:rPr>
        <w:t>，立即口头向监理或采购人报告，并及时出具</w:t>
      </w:r>
      <w:r>
        <w:rPr>
          <w:rFonts w:hint="eastAsia" w:ascii="宋体" w:hAnsi="宋体" w:eastAsia="宋体" w:cs="宋体"/>
          <w:color w:val="auto"/>
          <w:sz w:val="22"/>
          <w:szCs w:val="22"/>
          <w:highlight w:val="none"/>
          <w:lang w:eastAsia="zh-CN"/>
        </w:rPr>
        <w:t>检测初步</w:t>
      </w:r>
      <w:r>
        <w:rPr>
          <w:rFonts w:hint="eastAsia" w:ascii="宋体" w:hAnsi="宋体" w:eastAsia="宋体" w:cs="宋体"/>
          <w:color w:val="auto"/>
          <w:sz w:val="22"/>
          <w:szCs w:val="22"/>
          <w:highlight w:val="none"/>
        </w:rPr>
        <w:t>结果通知监理和采购人；一般情况在外业工作结束后</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日内向监理或采购人提交监测</w:t>
      </w:r>
      <w:r>
        <w:rPr>
          <w:rFonts w:hint="eastAsia" w:ascii="宋体" w:hAnsi="宋体" w:eastAsia="宋体" w:cs="宋体"/>
          <w:color w:val="auto"/>
          <w:sz w:val="22"/>
          <w:szCs w:val="22"/>
          <w:highlight w:val="none"/>
          <w:lang w:eastAsia="zh-CN"/>
        </w:rPr>
        <w:t>初步结果</w:t>
      </w:r>
      <w:r>
        <w:rPr>
          <w:rFonts w:hint="eastAsia" w:ascii="宋体" w:hAnsi="宋体" w:eastAsia="宋体" w:cs="宋体"/>
          <w:color w:val="auto"/>
          <w:sz w:val="22"/>
          <w:szCs w:val="22"/>
          <w:highlight w:val="none"/>
        </w:rPr>
        <w:t>；全部</w:t>
      </w:r>
      <w:r>
        <w:rPr>
          <w:rFonts w:hint="eastAsia" w:ascii="宋体" w:hAnsi="宋体" w:eastAsia="宋体" w:cs="宋体"/>
          <w:color w:val="auto"/>
          <w:sz w:val="22"/>
          <w:szCs w:val="22"/>
          <w:highlight w:val="none"/>
          <w:lang w:eastAsia="zh-CN"/>
        </w:rPr>
        <w:t>（或分段）检测</w:t>
      </w:r>
      <w:r>
        <w:rPr>
          <w:rFonts w:hint="eastAsia" w:ascii="宋体" w:hAnsi="宋体" w:eastAsia="宋体" w:cs="宋体"/>
          <w:color w:val="auto"/>
          <w:sz w:val="22"/>
          <w:szCs w:val="22"/>
          <w:highlight w:val="none"/>
        </w:rPr>
        <w:t>工作完成，</w:t>
      </w:r>
      <w:r>
        <w:rPr>
          <w:rFonts w:hint="eastAsia" w:ascii="宋体" w:hAnsi="宋体" w:eastAsia="宋体" w:cs="宋体"/>
          <w:color w:val="auto"/>
          <w:sz w:val="22"/>
          <w:szCs w:val="22"/>
          <w:highlight w:val="none"/>
          <w:lang w:val="en-US" w:eastAsia="zh-CN"/>
        </w:rPr>
        <w:t>7</w:t>
      </w:r>
      <w:r>
        <w:rPr>
          <w:rFonts w:hint="eastAsia" w:ascii="宋体" w:hAnsi="宋体" w:eastAsia="宋体" w:cs="宋体"/>
          <w:color w:val="auto"/>
          <w:sz w:val="22"/>
          <w:szCs w:val="22"/>
          <w:highlight w:val="none"/>
        </w:rPr>
        <w:t>天内提交正式</w:t>
      </w:r>
      <w:r>
        <w:rPr>
          <w:rFonts w:hint="eastAsia" w:ascii="宋体" w:hAnsi="宋体" w:eastAsia="宋体" w:cs="宋体"/>
          <w:color w:val="auto"/>
          <w:sz w:val="22"/>
          <w:szCs w:val="22"/>
          <w:highlight w:val="none"/>
          <w:lang w:eastAsia="zh-CN"/>
        </w:rPr>
        <w:t>检测</w:t>
      </w:r>
      <w:r>
        <w:rPr>
          <w:rFonts w:hint="eastAsia" w:ascii="宋体" w:hAnsi="宋体" w:eastAsia="宋体" w:cs="宋体"/>
          <w:color w:val="auto"/>
          <w:sz w:val="22"/>
          <w:szCs w:val="22"/>
          <w:highlight w:val="none"/>
        </w:rPr>
        <w:t>报告一式五份。</w:t>
      </w:r>
    </w:p>
    <w:p>
      <w:pPr>
        <w:pStyle w:val="2"/>
        <w:rPr>
          <w:rFonts w:hint="eastAsia"/>
          <w:color w:val="auto"/>
          <w:highlight w:val="none"/>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宋体"/>
          <w:b/>
          <w:bCs/>
          <w:color w:val="auto"/>
          <w:kern w:val="2"/>
          <w:sz w:val="22"/>
          <w:szCs w:val="22"/>
          <w:highlight w:val="none"/>
          <w:lang w:val="en-US" w:eastAsia="zh-CN" w:bidi="ar-SA"/>
        </w:rPr>
        <w:t>六、服务要求</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440" w:firstLineChars="20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1、投标人应积极配合采购人调整优化检测方案，</w:t>
      </w:r>
      <w:bookmarkStart w:id="16" w:name="OLE_LINK15"/>
      <w:bookmarkStart w:id="17" w:name="OLE_LINK16"/>
      <w:r>
        <w:rPr>
          <w:rFonts w:hint="eastAsia" w:ascii="宋体" w:hAnsi="宋体" w:eastAsia="宋体" w:cs="宋体"/>
          <w:color w:val="auto"/>
          <w:kern w:val="2"/>
          <w:sz w:val="22"/>
          <w:szCs w:val="22"/>
          <w:highlight w:val="none"/>
          <w:lang w:val="en-US" w:eastAsia="zh-CN" w:bidi="ar-SA"/>
        </w:rPr>
        <w:t>检测任务下达后</w:t>
      </w:r>
      <w:bookmarkEnd w:id="16"/>
      <w:bookmarkEnd w:id="17"/>
      <w:r>
        <w:rPr>
          <w:rFonts w:hint="eastAsia" w:ascii="宋体" w:hAnsi="宋体" w:eastAsia="宋体" w:cs="宋体"/>
          <w:color w:val="auto"/>
          <w:kern w:val="2"/>
          <w:sz w:val="22"/>
          <w:szCs w:val="22"/>
          <w:highlight w:val="none"/>
          <w:lang w:val="en-US" w:eastAsia="zh-CN" w:bidi="ar-SA"/>
        </w:rPr>
        <w:t>3个工作日内提供项目检测方案，并提交采购人确认。</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440" w:firstLineChars="20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2、投标人须协助采购人到东莞市住房和城乡建设局完成检测方案备案，对监督部门提出修改要求的应配合修改后上报。</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440" w:firstLineChars="20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3、投标人第三方检测工作必须符合《东莞市住房和城乡建设局建设工程质量检测管理暂行规定》要求。</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440" w:firstLineChars="20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4、检测工作根据备案确认后的检测方案执行。</w:t>
      </w:r>
    </w:p>
    <w:p>
      <w:pPr>
        <w:pStyle w:val="24"/>
        <w:keepNext w:val="0"/>
        <w:keepLines w:val="0"/>
        <w:pageBreakBefore w:val="0"/>
        <w:widowControl w:val="0"/>
        <w:kinsoku/>
        <w:wordWrap/>
        <w:overflowPunct/>
        <w:topLinePunct w:val="0"/>
        <w:autoSpaceDE/>
        <w:autoSpaceDN/>
        <w:bidi w:val="0"/>
        <w:adjustRightInd/>
        <w:snapToGrid/>
        <w:spacing w:after="0" w:line="240" w:lineRule="auto"/>
        <w:ind w:firstLine="440" w:firstLineChars="20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5、各项检测工作完成后7个工作日内，提交一式5份正式检测报告及相关文档资料至采购人。</w:t>
      </w:r>
    </w:p>
    <w:p>
      <w:pPr>
        <w:pStyle w:val="24"/>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6、检测完成后提交相关成果资料，配合工程进行完成各项验收。</w:t>
      </w:r>
    </w:p>
    <w:p>
      <w:pPr>
        <w:pStyle w:val="24"/>
        <w:keepNext w:val="0"/>
        <w:keepLines w:val="0"/>
        <w:pageBreakBefore w:val="0"/>
        <w:widowControl w:val="0"/>
        <w:kinsoku/>
        <w:wordWrap/>
        <w:overflowPunct/>
        <w:topLinePunct w:val="0"/>
        <w:autoSpaceDE/>
        <w:autoSpaceDN/>
        <w:bidi w:val="0"/>
        <w:adjustRightInd/>
        <w:snapToGrid/>
        <w:spacing w:after="0" w:line="240" w:lineRule="auto"/>
        <w:ind w:firstLine="440" w:firstLineChars="20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7、采购人检测任务下达后，投标人必须在24小时内响应到达</w:t>
      </w:r>
      <w:bookmarkStart w:id="18" w:name="OLE_LINK18"/>
      <w:bookmarkStart w:id="19" w:name="OLE_LINK17"/>
      <w:r>
        <w:rPr>
          <w:rFonts w:hint="eastAsia" w:ascii="宋体" w:hAnsi="宋体" w:eastAsia="宋体" w:cs="宋体"/>
          <w:color w:val="auto"/>
          <w:kern w:val="2"/>
          <w:sz w:val="22"/>
          <w:szCs w:val="22"/>
          <w:highlight w:val="none"/>
          <w:lang w:val="en-US" w:eastAsia="zh-CN" w:bidi="ar-SA"/>
        </w:rPr>
        <w:t>；接到检测任务后，投标人应在五个工作日内提交正式检测报告并提交采购人</w:t>
      </w:r>
      <w:bookmarkEnd w:id="18"/>
      <w:bookmarkEnd w:id="19"/>
      <w:r>
        <w:rPr>
          <w:rFonts w:hint="eastAsia" w:ascii="宋体" w:hAnsi="宋体" w:eastAsia="宋体" w:cs="宋体"/>
          <w:color w:val="auto"/>
          <w:kern w:val="2"/>
          <w:sz w:val="22"/>
          <w:szCs w:val="22"/>
          <w:highlight w:val="none"/>
          <w:lang w:val="en-US" w:eastAsia="zh-CN" w:bidi="ar-SA"/>
        </w:rPr>
        <w:t>。</w:t>
      </w:r>
    </w:p>
    <w:p>
      <w:pPr>
        <w:pStyle w:val="24"/>
        <w:keepNext w:val="0"/>
        <w:keepLines w:val="0"/>
        <w:pageBreakBefore w:val="0"/>
        <w:widowControl w:val="0"/>
        <w:kinsoku/>
        <w:wordWrap/>
        <w:overflowPunct/>
        <w:topLinePunct w:val="0"/>
        <w:autoSpaceDE/>
        <w:autoSpaceDN/>
        <w:bidi w:val="0"/>
        <w:adjustRightInd/>
        <w:snapToGrid/>
        <w:spacing w:after="0" w:line="240" w:lineRule="auto"/>
        <w:ind w:firstLine="440" w:firstLineChars="200"/>
        <w:textAlignment w:val="auto"/>
        <w:rPr>
          <w:rFonts w:hint="eastAsia" w:ascii="宋体" w:hAnsi="宋体" w:eastAsia="宋体" w:cs="宋体"/>
          <w:color w:val="auto"/>
          <w:kern w:val="2"/>
          <w:sz w:val="22"/>
          <w:szCs w:val="22"/>
          <w:highlight w:val="none"/>
          <w:lang w:val="en-US" w:eastAsia="zh-CN" w:bidi="ar-SA"/>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宋体"/>
          <w:b/>
          <w:bCs/>
          <w:color w:val="auto"/>
          <w:kern w:val="2"/>
          <w:sz w:val="22"/>
          <w:szCs w:val="22"/>
          <w:highlight w:val="none"/>
          <w:lang w:val="en-US" w:eastAsia="zh-CN" w:bidi="ar-SA"/>
        </w:rPr>
        <w:t>七、质量要求</w:t>
      </w:r>
    </w:p>
    <w:p>
      <w:pPr>
        <w:pStyle w:val="24"/>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firstLine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提供鉴定合格、手续完备的检测仪器，及时出具具有法律效应的检测报告。投标人须保证检测成果质量，对技术成果负完全责任，如因检测不实，造成采购人经济损失，费用全部由投标人承担，须负责重检，并承担相应法律责任。</w:t>
      </w:r>
    </w:p>
    <w:p>
      <w:pPr>
        <w:pStyle w:val="24"/>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firstLine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执行国家、广东省以及东莞市有关工程检、试验的标规范的规定。</w:t>
      </w:r>
    </w:p>
    <w:p>
      <w:pPr>
        <w:pStyle w:val="24"/>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firstLine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投标人自行解决现场检测所需辅助劳务及相关费用。</w:t>
      </w:r>
    </w:p>
    <w:p>
      <w:pPr>
        <w:pStyle w:val="24"/>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firstLine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中标人实际投入本项目人员应与投标文件中承诺投入人员一致，若需更换，中标人应向采购人提出书面申请，经采购人审核同意后方可更换；在项目服务过程中，中标人投入本项目人员应固定在莞。</w:t>
      </w:r>
    </w:p>
    <w:p>
      <w:pPr>
        <w:pStyle w:val="24"/>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firstLine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中标人在合同期内须严格遵守当地政府职能部门的各项规章制度，由于管理不善，导致政府职能部门的罚款和暂定服务整改，由其发生的费用与损失由中标人自行承担，且采购人保留追究的权利。</w:t>
      </w:r>
    </w:p>
    <w:p>
      <w:pPr>
        <w:pStyle w:val="24"/>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firstLine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中标人应配备足够的试验检测仪器设备。试验检测仪器设备必须在检定/校准有效期内,并在检定/校准有效期满后应进行检定/校准。各计量试验检测仪器设备都必须严格按要求有明显的标志。</w:t>
      </w:r>
    </w:p>
    <w:p>
      <w:pPr>
        <w:pStyle w:val="24"/>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firstLine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试验检测工作人员要熟悉并严格按照试验检测规程和方法，试验检测工作，同时做好数据记录，试验检测报告必须严格进行内部三级审核制度。</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color w:val="auto"/>
          <w:kern w:val="2"/>
          <w:sz w:val="22"/>
          <w:szCs w:val="22"/>
          <w:highlight w:val="none"/>
          <w:lang w:val="en-US" w:eastAsia="zh-CN" w:bidi="ar-SA"/>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宋体"/>
          <w:b/>
          <w:bCs/>
          <w:color w:val="auto"/>
          <w:kern w:val="2"/>
          <w:sz w:val="22"/>
          <w:szCs w:val="22"/>
          <w:highlight w:val="none"/>
          <w:lang w:val="en-US" w:eastAsia="zh-CN" w:bidi="ar-SA"/>
        </w:rPr>
        <w:t>八、服务期</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自合同签订至本项目监测和检测任务完成为止。</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b/>
          <w:bCs/>
          <w:color w:val="auto"/>
          <w:kern w:val="2"/>
          <w:sz w:val="22"/>
          <w:szCs w:val="22"/>
          <w:highlight w:val="none"/>
          <w:lang w:val="en-US" w:eastAsia="zh-CN" w:bidi="ar-SA"/>
        </w:rPr>
      </w:pPr>
    </w:p>
    <w:p>
      <w:pPr>
        <w:spacing w:before="120" w:beforeLines="50" w:after="120" w:afterLines="50" w:line="360" w:lineRule="exact"/>
        <w:rPr>
          <w:rFonts w:hint="eastAsia" w:ascii="宋体" w:hAnsi="宋体" w:eastAsia="宋体" w:cs="宋体"/>
          <w:b/>
          <w:bCs/>
          <w:color w:val="auto"/>
          <w:sz w:val="22"/>
          <w:szCs w:val="22"/>
          <w:highlight w:val="none"/>
          <w:lang w:val="hr-HR" w:eastAsia="zh-CN"/>
        </w:rPr>
      </w:pPr>
      <w:r>
        <w:rPr>
          <w:rFonts w:hint="eastAsia" w:ascii="宋体" w:hAnsi="宋体" w:eastAsia="宋体" w:cs="宋体"/>
          <w:b/>
          <w:bCs/>
          <w:color w:val="auto"/>
          <w:sz w:val="22"/>
          <w:szCs w:val="22"/>
          <w:highlight w:val="none"/>
          <w:lang w:val="en-US" w:eastAsia="zh-CN"/>
        </w:rPr>
        <w:t>九、检测、监测投入人员和设备基本要求</w:t>
      </w:r>
    </w:p>
    <w:p>
      <w:pPr>
        <w:snapToGrid w:val="0"/>
        <w:spacing w:line="240" w:lineRule="exact"/>
        <w:jc w:val="center"/>
        <w:rPr>
          <w:rFonts w:hint="eastAsia" w:ascii="新宋体" w:hAnsi="新宋体" w:eastAsia="新宋体" w:cs="新宋体"/>
          <w:b/>
          <w:bCs/>
          <w:color w:val="auto"/>
          <w:sz w:val="22"/>
          <w:szCs w:val="22"/>
          <w:highlight w:val="none"/>
        </w:rPr>
      </w:pPr>
    </w:p>
    <w:p>
      <w:pPr>
        <w:snapToGrid w:val="0"/>
        <w:spacing w:line="24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1、拟投入的主要人员配置要求</w:t>
      </w:r>
    </w:p>
    <w:tbl>
      <w:tblPr>
        <w:tblStyle w:val="16"/>
        <w:tblpPr w:leftFromText="180" w:rightFromText="180" w:vertAnchor="text" w:horzAnchor="margin" w:tblpY="371"/>
        <w:tblOverlap w:val="never"/>
        <w:tblW w:w="4998"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987"/>
        <w:gridCol w:w="5710"/>
        <w:gridCol w:w="82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1166" w:type="pct"/>
            <w:tcBorders>
              <w:top w:val="thinThickSmallGap" w:color="auto" w:sz="12"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w:t>
            </w:r>
          </w:p>
        </w:tc>
        <w:tc>
          <w:tcPr>
            <w:tcW w:w="3350" w:type="pct"/>
            <w:tcBorders>
              <w:top w:val="thinThickSmallGap" w:color="auto" w:sz="12" w:space="0"/>
            </w:tcBorders>
            <w:noWrap w:val="0"/>
            <w:vAlign w:val="center"/>
          </w:tcPr>
          <w:p>
            <w:pPr>
              <w:pStyle w:val="44"/>
              <w:keepNext w:val="0"/>
              <w:keepLines w:val="0"/>
              <w:pageBreakBefore w:val="0"/>
              <w:widowControl/>
              <w:pBdr>
                <w:left w:val="none" w:color="auto" w:sz="0" w:space="0"/>
                <w:right w:val="none" w:color="auto" w:sz="0" w:space="0"/>
              </w:pBdr>
              <w:kinsoku/>
              <w:wordWrap/>
              <w:overflowPunct/>
              <w:topLinePunct w:val="0"/>
              <w:autoSpaceDE/>
              <w:autoSpaceDN/>
              <w:bidi w:val="0"/>
              <w:adjustRightInd w:val="0"/>
              <w:snapToGrid w:val="0"/>
              <w:spacing w:before="0" w:beforeAutospacing="0" w:after="0" w:afterAutospacing="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资格与经历</w:t>
            </w:r>
          </w:p>
        </w:tc>
        <w:tc>
          <w:tcPr>
            <w:tcW w:w="482" w:type="pct"/>
            <w:tcBorders>
              <w:top w:val="thinThickSmallGap" w:color="auto" w:sz="12"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人员数量</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cantSplit/>
          <w:trHeight w:val="873" w:hRule="atLeast"/>
        </w:trPr>
        <w:tc>
          <w:tcPr>
            <w:tcW w:w="1166"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w:t>
            </w:r>
            <w:r>
              <w:rPr>
                <w:rFonts w:hint="eastAsia" w:ascii="宋体" w:hAnsi="宋体" w:eastAsia="宋体" w:cs="宋体"/>
                <w:color w:val="auto"/>
                <w:sz w:val="21"/>
                <w:szCs w:val="21"/>
                <w:highlight w:val="none"/>
                <w:lang w:val="en-US" w:eastAsia="zh-CN"/>
              </w:rPr>
              <w:t>总</w:t>
            </w:r>
            <w:r>
              <w:rPr>
                <w:rFonts w:hint="eastAsia" w:ascii="宋体" w:hAnsi="宋体" w:eastAsia="宋体" w:cs="宋体"/>
                <w:color w:val="auto"/>
                <w:sz w:val="21"/>
                <w:szCs w:val="21"/>
                <w:highlight w:val="none"/>
              </w:rPr>
              <w:t>负责人</w:t>
            </w:r>
          </w:p>
        </w:tc>
        <w:tc>
          <w:tcPr>
            <w:tcW w:w="3350"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具有注册土木工程师（岩土）执业资格，注册于投标人本单位。</w:t>
            </w:r>
          </w:p>
        </w:tc>
        <w:tc>
          <w:tcPr>
            <w:tcW w:w="482"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cantSplit/>
          <w:trHeight w:val="911" w:hRule="atLeast"/>
        </w:trPr>
        <w:tc>
          <w:tcPr>
            <w:tcW w:w="1166"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监测分项负责人</w:t>
            </w:r>
          </w:p>
        </w:tc>
        <w:tc>
          <w:tcPr>
            <w:tcW w:w="3350"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中级工程师或以上职称或由专业注册工程师担任。</w:t>
            </w:r>
          </w:p>
        </w:tc>
        <w:tc>
          <w:tcPr>
            <w:tcW w:w="482"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cantSplit/>
          <w:trHeight w:val="911" w:hRule="atLeast"/>
        </w:trPr>
        <w:tc>
          <w:tcPr>
            <w:tcW w:w="1166"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检测分项负责人</w:t>
            </w:r>
          </w:p>
        </w:tc>
        <w:tc>
          <w:tcPr>
            <w:tcW w:w="3350"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中级工程师或以上职称或由专业注册工程师担任。</w:t>
            </w:r>
          </w:p>
        </w:tc>
        <w:tc>
          <w:tcPr>
            <w:tcW w:w="482"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cantSplit/>
          <w:trHeight w:val="985" w:hRule="atLeast"/>
        </w:trPr>
        <w:tc>
          <w:tcPr>
            <w:tcW w:w="1166" w:type="pc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检测员</w:t>
            </w:r>
          </w:p>
        </w:tc>
        <w:tc>
          <w:tcPr>
            <w:tcW w:w="3350" w:type="pct"/>
            <w:noWrap w:val="0"/>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具有助理工程师或以上职称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具有检测员上岗证</w:t>
            </w:r>
            <w:r>
              <w:rPr>
                <w:rFonts w:hint="eastAsia" w:ascii="宋体" w:hAnsi="宋体" w:eastAsia="宋体" w:cs="宋体"/>
                <w:color w:val="auto"/>
                <w:sz w:val="21"/>
                <w:szCs w:val="21"/>
                <w:highlight w:val="none"/>
                <w:lang w:eastAsia="zh-CN"/>
              </w:rPr>
              <w:t>。</w:t>
            </w:r>
          </w:p>
        </w:tc>
        <w:tc>
          <w:tcPr>
            <w:tcW w:w="482" w:type="pc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cantSplit/>
          <w:trHeight w:val="985" w:hRule="atLeast"/>
        </w:trPr>
        <w:tc>
          <w:tcPr>
            <w:tcW w:w="1166" w:type="pc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管道CCTV检测</w:t>
            </w:r>
          </w:p>
        </w:tc>
        <w:tc>
          <w:tcPr>
            <w:tcW w:w="3350" w:type="pct"/>
            <w:noWrap w:val="0"/>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具有“城镇排水管道检测与评估技术岗位培训合格证书”</w:t>
            </w:r>
            <w:r>
              <w:rPr>
                <w:rFonts w:hint="eastAsia" w:ascii="宋体" w:hAnsi="宋体" w:eastAsia="宋体" w:cs="宋体"/>
                <w:color w:val="auto"/>
                <w:sz w:val="21"/>
                <w:szCs w:val="21"/>
                <w:highlight w:val="none"/>
                <w:lang w:val="en-US" w:eastAsia="zh-CN"/>
              </w:rPr>
              <w:t>或相关管道检测证书</w:t>
            </w:r>
          </w:p>
        </w:tc>
        <w:tc>
          <w:tcPr>
            <w:tcW w:w="482" w:type="pc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cantSplit/>
          <w:trHeight w:val="985" w:hRule="atLeast"/>
        </w:trPr>
        <w:tc>
          <w:tcPr>
            <w:tcW w:w="1166"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施工现场监测人员</w:t>
            </w:r>
          </w:p>
        </w:tc>
        <w:tc>
          <w:tcPr>
            <w:tcW w:w="3350"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具有助理工程师或以上职称</w:t>
            </w:r>
            <w:r>
              <w:rPr>
                <w:rFonts w:hint="eastAsia" w:ascii="宋体" w:hAnsi="宋体" w:eastAsia="宋体" w:cs="宋体"/>
                <w:color w:val="auto"/>
                <w:sz w:val="21"/>
                <w:szCs w:val="21"/>
                <w:highlight w:val="none"/>
                <w:lang w:val="en-US" w:eastAsia="zh-CN"/>
              </w:rPr>
              <w:t>；</w:t>
            </w:r>
          </w:p>
        </w:tc>
        <w:tc>
          <w:tcPr>
            <w:tcW w:w="482"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r>
    </w:tbl>
    <w:p>
      <w:pPr>
        <w:snapToGrid w:val="0"/>
        <w:spacing w:line="240" w:lineRule="exact"/>
        <w:jc w:val="center"/>
        <w:rPr>
          <w:rFonts w:ascii="新宋体" w:hAnsi="新宋体" w:eastAsia="新宋体" w:cs="新宋体"/>
          <w:b/>
          <w:bCs/>
          <w:color w:val="auto"/>
          <w:sz w:val="22"/>
          <w:szCs w:val="22"/>
          <w:highlight w:val="none"/>
        </w:rPr>
      </w:pPr>
    </w:p>
    <w:p>
      <w:pPr>
        <w:spacing w:before="120" w:beforeLines="50" w:after="120" w:afterLines="50"/>
        <w:rPr>
          <w:rFonts w:hint="eastAsia" w:hAnsi="宋体"/>
          <w:b/>
          <w:color w:val="auto"/>
          <w:sz w:val="30"/>
          <w:szCs w:val="30"/>
          <w:highlight w:val="none"/>
        </w:rPr>
      </w:pPr>
      <w:r>
        <w:rPr>
          <w:rFonts w:hint="eastAsia"/>
          <w:color w:val="auto"/>
          <w:sz w:val="21"/>
          <w:szCs w:val="21"/>
          <w:highlight w:val="none"/>
        </w:rPr>
        <w:t>备注：此表为最低配置要求。</w:t>
      </w:r>
    </w:p>
    <w:p>
      <w:pPr>
        <w:snapToGrid w:val="0"/>
        <w:spacing w:line="240" w:lineRule="exact"/>
        <w:jc w:val="center"/>
        <w:rPr>
          <w:rFonts w:ascii="新宋体" w:hAnsi="新宋体" w:eastAsia="新宋体" w:cs="新宋体"/>
          <w:b/>
          <w:bCs/>
          <w:color w:val="auto"/>
          <w:sz w:val="22"/>
          <w:szCs w:val="22"/>
          <w:highlight w:val="none"/>
        </w:rPr>
      </w:pPr>
    </w:p>
    <w:p>
      <w:pPr>
        <w:numPr>
          <w:ilvl w:val="0"/>
          <w:numId w:val="2"/>
        </w:numPr>
        <w:snapToGrid w:val="0"/>
        <w:spacing w:line="24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拟投入的主要仪器设备基本要求</w:t>
      </w:r>
    </w:p>
    <w:p>
      <w:pPr>
        <w:snapToGrid w:val="0"/>
        <w:spacing w:line="240" w:lineRule="exact"/>
        <w:jc w:val="both"/>
        <w:rPr>
          <w:rFonts w:hint="eastAsia" w:ascii="新宋体" w:hAnsi="新宋体" w:eastAsia="新宋体" w:cs="新宋体"/>
          <w:b/>
          <w:bCs/>
          <w:color w:val="auto"/>
          <w:sz w:val="22"/>
          <w:szCs w:val="22"/>
          <w:highlight w:val="none"/>
        </w:rPr>
      </w:pPr>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4828"/>
        <w:gridCol w:w="123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pct"/>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2833" w:type="pct"/>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仪器设备</w:t>
            </w:r>
          </w:p>
        </w:tc>
        <w:tc>
          <w:tcPr>
            <w:tcW w:w="722" w:type="pct"/>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单位</w:t>
            </w:r>
          </w:p>
        </w:tc>
        <w:tc>
          <w:tcPr>
            <w:tcW w:w="722" w:type="pct"/>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pct"/>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833" w:type="pct"/>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万能试验机</w:t>
            </w:r>
          </w:p>
        </w:tc>
        <w:tc>
          <w:tcPr>
            <w:tcW w:w="722" w:type="pct"/>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722" w:type="pct"/>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pct"/>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2833" w:type="pct"/>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管道CCTV内窥检测系统</w:t>
            </w:r>
          </w:p>
        </w:tc>
        <w:tc>
          <w:tcPr>
            <w:tcW w:w="722" w:type="pct"/>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722" w:type="pct"/>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pct"/>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2833" w:type="pct"/>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全站仪</w:t>
            </w:r>
          </w:p>
        </w:tc>
        <w:tc>
          <w:tcPr>
            <w:tcW w:w="722" w:type="pct"/>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722" w:type="pct"/>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pct"/>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2833" w:type="pct"/>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水准仪</w:t>
            </w:r>
          </w:p>
        </w:tc>
        <w:tc>
          <w:tcPr>
            <w:tcW w:w="722" w:type="pct"/>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722" w:type="pct"/>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22" w:type="pct"/>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2833" w:type="pct"/>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桩基用钻芯机</w:t>
            </w:r>
          </w:p>
        </w:tc>
        <w:tc>
          <w:tcPr>
            <w:tcW w:w="722" w:type="pct"/>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722" w:type="pct"/>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22" w:type="pct"/>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2833" w:type="pct"/>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轻型触探仪器</w:t>
            </w:r>
          </w:p>
        </w:tc>
        <w:tc>
          <w:tcPr>
            <w:tcW w:w="722" w:type="pct"/>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套</w:t>
            </w:r>
          </w:p>
        </w:tc>
        <w:tc>
          <w:tcPr>
            <w:tcW w:w="722" w:type="pct"/>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22" w:type="pct"/>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2833" w:type="pct"/>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超声波探伤仪器</w:t>
            </w:r>
          </w:p>
        </w:tc>
        <w:tc>
          <w:tcPr>
            <w:tcW w:w="722" w:type="pct"/>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套</w:t>
            </w:r>
          </w:p>
        </w:tc>
        <w:tc>
          <w:tcPr>
            <w:tcW w:w="722" w:type="pct"/>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22" w:type="pct"/>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2833" w:type="pct"/>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灌砂法密度试验仪</w:t>
            </w:r>
          </w:p>
        </w:tc>
        <w:tc>
          <w:tcPr>
            <w:tcW w:w="722" w:type="pct"/>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套</w:t>
            </w:r>
          </w:p>
        </w:tc>
        <w:tc>
          <w:tcPr>
            <w:tcW w:w="722" w:type="pct"/>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r>
    </w:tbl>
    <w:p>
      <w:pPr>
        <w:snapToGrid w:val="0"/>
        <w:spacing w:line="500" w:lineRule="atLeast"/>
        <w:rPr>
          <w:rFonts w:ascii="新宋体" w:hAnsi="新宋体" w:eastAsia="新宋体" w:cs="新宋体"/>
          <w:b/>
          <w:color w:val="auto"/>
          <w:highlight w:val="none"/>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b/>
          <w:bCs/>
          <w:color w:val="auto"/>
          <w:kern w:val="2"/>
          <w:sz w:val="22"/>
          <w:szCs w:val="22"/>
          <w:highlight w:val="none"/>
          <w:lang w:val="en-US" w:eastAsia="zh-CN" w:bidi="ar-SA"/>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Times New Roman"/>
          <w:b/>
          <w:bCs/>
          <w:color w:val="auto"/>
          <w:sz w:val="21"/>
          <w:szCs w:val="21"/>
          <w:highlight w:val="none"/>
        </w:rPr>
        <w:t>★</w:t>
      </w:r>
      <w:r>
        <w:rPr>
          <w:rFonts w:hint="eastAsia" w:ascii="宋体" w:hAnsi="宋体" w:eastAsia="宋体" w:cs="宋体"/>
          <w:b/>
          <w:bCs/>
          <w:color w:val="auto"/>
          <w:kern w:val="2"/>
          <w:sz w:val="22"/>
          <w:szCs w:val="22"/>
          <w:highlight w:val="none"/>
          <w:lang w:val="en-US" w:eastAsia="zh-CN" w:bidi="ar-SA"/>
        </w:rPr>
        <w:t xml:space="preserve">十、报价要求 </w:t>
      </w:r>
    </w:p>
    <w:p>
      <w:pPr>
        <w:keepNext w:val="0"/>
        <w:keepLines w:val="0"/>
        <w:pageBreakBefore w:val="0"/>
        <w:numPr>
          <w:ilvl w:val="0"/>
          <w:numId w:val="3"/>
        </w:numPr>
        <w:kinsoku/>
        <w:wordWrap/>
        <w:overflowPunct/>
        <w:topLinePunct w:val="0"/>
        <w:autoSpaceDE/>
        <w:autoSpaceDN/>
        <w:bidi w:val="0"/>
        <w:spacing w:after="0" w:line="240" w:lineRule="auto"/>
        <w:ind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本项目报价为下浮率报价，要求供应商的投标报价按《工程勘察设计收费标准》(2002年修订本)和《广东省房屋建筑和市政工程质量安全检测收费指导价&gt;&gt;粤建检协（2015）8号文件的收费指导价做为基准价下浮</w:t>
      </w:r>
      <w:r>
        <w:rPr>
          <w:rFonts w:hint="eastAsia" w:ascii="宋体" w:hAnsi="宋体" w:eastAsia="宋体" w:cs="宋体"/>
          <w:color w:val="auto"/>
          <w:kern w:val="2"/>
          <w:sz w:val="22"/>
          <w:szCs w:val="22"/>
          <w:highlight w:val="none"/>
          <w:u w:val="single"/>
          <w:lang w:val="en-US" w:eastAsia="zh-CN" w:bidi="ar-SA"/>
        </w:rPr>
        <w:t>   </w:t>
      </w:r>
      <w:r>
        <w:rPr>
          <w:rFonts w:hint="eastAsia" w:ascii="宋体" w:hAnsi="宋体" w:eastAsia="宋体" w:cs="宋体"/>
          <w:color w:val="auto"/>
          <w:kern w:val="2"/>
          <w:sz w:val="22"/>
          <w:szCs w:val="22"/>
          <w:highlight w:val="none"/>
          <w:lang w:val="en-US" w:eastAsia="zh-CN" w:bidi="ar-SA"/>
        </w:rPr>
        <w:t>%。检测监测分项单价=基准价×（1-投标下浮率）。签订合同后根据实际的工作量结算，中标人的分项单价在合同期内不作变动。</w:t>
      </w:r>
    </w:p>
    <w:p>
      <w:pPr>
        <w:keepNext w:val="0"/>
        <w:keepLines w:val="0"/>
        <w:pageBreakBefore w:val="0"/>
        <w:kinsoku/>
        <w:wordWrap/>
        <w:overflowPunct/>
        <w:topLinePunct w:val="0"/>
        <w:autoSpaceDE/>
        <w:autoSpaceDN/>
        <w:bidi w:val="0"/>
        <w:spacing w:after="0" w:line="240" w:lineRule="auto"/>
        <w:ind w:firstLine="440" w:firstLineChars="200"/>
        <w:rPr>
          <w:rFonts w:hint="default"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2、</w:t>
      </w:r>
      <w:r>
        <w:rPr>
          <w:rFonts w:hint="eastAsia" w:ascii="宋体" w:hAnsi="宋体" w:eastAsia="宋体" w:cs="宋体"/>
          <w:color w:val="auto"/>
          <w:kern w:val="2"/>
          <w:sz w:val="22"/>
          <w:szCs w:val="22"/>
          <w:highlight w:val="none"/>
          <w:lang w:val="hr-HR" w:eastAsia="zh-CN" w:bidi="ar-SA"/>
        </w:rPr>
        <w:t>按《关于规范支付工程建设项目管理服务费的通知》（岭府办[2009]36号）规定，本项目监测下浮率不得低于</w:t>
      </w:r>
      <w:r>
        <w:rPr>
          <w:rFonts w:hint="eastAsia" w:ascii="宋体" w:hAnsi="宋体" w:eastAsia="宋体" w:cs="宋体"/>
          <w:color w:val="auto"/>
          <w:kern w:val="2"/>
          <w:sz w:val="22"/>
          <w:szCs w:val="22"/>
          <w:highlight w:val="none"/>
          <w:lang w:val="en-US" w:eastAsia="zh-CN" w:bidi="ar-SA"/>
        </w:rPr>
        <w:t>20%，</w:t>
      </w:r>
      <w:r>
        <w:rPr>
          <w:rFonts w:hint="eastAsia" w:ascii="宋体" w:hAnsi="宋体" w:eastAsia="宋体" w:cs="宋体"/>
          <w:color w:val="auto"/>
          <w:kern w:val="2"/>
          <w:sz w:val="22"/>
          <w:szCs w:val="22"/>
          <w:highlight w:val="none"/>
          <w:lang w:val="hr-HR" w:eastAsia="zh-CN" w:bidi="ar-SA"/>
        </w:rPr>
        <w:t>检测下浮率不得低于</w:t>
      </w:r>
      <w:r>
        <w:rPr>
          <w:rFonts w:hint="eastAsia" w:ascii="宋体" w:hAnsi="宋体" w:eastAsia="宋体" w:cs="宋体"/>
          <w:color w:val="auto"/>
          <w:kern w:val="2"/>
          <w:sz w:val="22"/>
          <w:szCs w:val="22"/>
          <w:highlight w:val="none"/>
          <w:lang w:val="en-US" w:eastAsia="zh-CN" w:bidi="ar-SA"/>
        </w:rPr>
        <w:t>10%。</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3、本项目的最终结算价以实际工作量计算，总价不超过人民币</w:t>
      </w:r>
      <w:r>
        <w:rPr>
          <w:rFonts w:hint="eastAsia" w:ascii="宋体" w:hAnsi="宋体" w:eastAsia="宋体" w:cs="宋体"/>
          <w:color w:val="auto"/>
          <w:kern w:val="2"/>
          <w:sz w:val="22"/>
          <w:szCs w:val="22"/>
          <w:highlight w:val="none"/>
          <w:u w:val="single"/>
          <w:lang w:val="en-US" w:eastAsia="zh-CN" w:bidi="ar-SA"/>
        </w:rPr>
        <w:t xml:space="preserve">  4,155,400.00  </w:t>
      </w:r>
      <w:r>
        <w:rPr>
          <w:rFonts w:hint="eastAsia" w:ascii="宋体" w:hAnsi="宋体" w:eastAsia="宋体" w:cs="宋体"/>
          <w:color w:val="auto"/>
          <w:kern w:val="2"/>
          <w:sz w:val="22"/>
          <w:szCs w:val="22"/>
          <w:highlight w:val="none"/>
          <w:lang w:val="en-US" w:eastAsia="zh-CN" w:bidi="ar-SA"/>
        </w:rPr>
        <w:t>元，其中CCTV管道检查费不超过1,150,000.00元,闭水试验检测费不超过180,000.00元。</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b/>
          <w:bCs/>
          <w:color w:val="auto"/>
          <w:kern w:val="2"/>
          <w:sz w:val="22"/>
          <w:szCs w:val="22"/>
          <w:highlight w:val="none"/>
          <w:lang w:val="en-US" w:eastAsia="zh-CN" w:bidi="ar-SA"/>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Times New Roman"/>
          <w:b/>
          <w:bCs/>
          <w:color w:val="auto"/>
          <w:sz w:val="21"/>
          <w:szCs w:val="21"/>
          <w:highlight w:val="none"/>
        </w:rPr>
        <w:t>★</w:t>
      </w:r>
      <w:r>
        <w:rPr>
          <w:rFonts w:hint="eastAsia" w:ascii="宋体" w:hAnsi="宋体" w:eastAsia="宋体" w:cs="宋体"/>
          <w:b/>
          <w:bCs/>
          <w:color w:val="auto"/>
          <w:kern w:val="2"/>
          <w:sz w:val="22"/>
          <w:szCs w:val="22"/>
          <w:highlight w:val="none"/>
          <w:lang w:val="en-US" w:eastAsia="zh-CN" w:bidi="ar-SA"/>
        </w:rPr>
        <w:t>十一、付款方式</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①每月按实际完成检测或监测工作量的80%进行支付进度款，项目检测或监测完毕后，中标人提交经采购人和监理方确认的完整报告，支付至总完成工作量的95%；</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②项目经采购人验收完成后，提交请款报告后30天内，采购人按结算价一次性支付余款；</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③本项目资金来源为财政资金，相关付款程序严格遵守东莞市（或项目所在镇街）政府财政资金支付程序规定。</w:t>
      </w:r>
    </w:p>
    <w:p>
      <w:pPr>
        <w:keepNext w:val="0"/>
        <w:keepLines w:val="0"/>
        <w:pageBreakBefore w:val="0"/>
        <w:kinsoku/>
        <w:wordWrap/>
        <w:overflowPunct/>
        <w:topLinePunct w:val="0"/>
        <w:autoSpaceDE/>
        <w:autoSpaceDN/>
        <w:bidi w:val="0"/>
        <w:spacing w:after="0" w:line="240" w:lineRule="auto"/>
        <w:ind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④如采用联合体投标，检测、检测可以分别请款进帐。</w:t>
      </w:r>
    </w:p>
    <w:p>
      <w:pPr>
        <w:pStyle w:val="2"/>
        <w:rPr>
          <w:color w:val="auto"/>
          <w:highlight w:val="none"/>
        </w:rPr>
      </w:pPr>
    </w:p>
    <w:p>
      <w:pPr>
        <w:spacing w:after="0" w:line="360" w:lineRule="auto"/>
        <w:ind w:firstLine="422" w:firstLineChars="200"/>
        <w:rPr>
          <w:rFonts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rPr>
        <w:t>注：不满足招标文件中 “★”条款的投标文件将作无效投标处理。</w:t>
      </w:r>
      <w:bookmarkEnd w:id="6"/>
      <w:bookmarkEnd w:id="7"/>
      <w:bookmarkEnd w:id="8"/>
      <w:bookmarkEnd w:id="9"/>
    </w:p>
    <w:p>
      <w:pPr>
        <w:pStyle w:val="3"/>
        <w:spacing w:before="0" w:after="0" w:line="240" w:lineRule="auto"/>
        <w:rPr>
          <w:color w:val="auto"/>
          <w:sz w:val="24"/>
          <w:szCs w:val="24"/>
          <w:highlight w:val="none"/>
        </w:rPr>
      </w:pPr>
      <w:r>
        <w:rPr>
          <w:rFonts w:hint="eastAsia"/>
          <w:color w:val="auto"/>
          <w:sz w:val="24"/>
          <w:szCs w:val="24"/>
          <w:highlight w:val="none"/>
        </w:rPr>
        <w:br w:type="page"/>
      </w:r>
      <w:bookmarkStart w:id="20" w:name="_Toc2479"/>
      <w:r>
        <w:rPr>
          <w:rFonts w:hint="eastAsia"/>
          <w:color w:val="auto"/>
          <w:sz w:val="28"/>
          <w:szCs w:val="28"/>
          <w:highlight w:val="none"/>
        </w:rPr>
        <w:t>第四部分 投标人须知</w:t>
      </w:r>
      <w:bookmarkEnd w:id="20"/>
    </w:p>
    <w:p>
      <w:pPr>
        <w:pStyle w:val="4"/>
        <w:numPr>
          <w:ilvl w:val="0"/>
          <w:numId w:val="4"/>
        </w:numPr>
        <w:spacing w:before="0" w:after="0" w:line="480" w:lineRule="auto"/>
        <w:jc w:val="center"/>
        <w:rPr>
          <w:rFonts w:ascii="宋体" w:hAnsi="宋体" w:eastAsia="宋体"/>
          <w:color w:val="auto"/>
          <w:highlight w:val="none"/>
        </w:rPr>
      </w:pPr>
      <w:bookmarkStart w:id="21" w:name="_Toc19746"/>
      <w:r>
        <w:rPr>
          <w:rFonts w:hint="eastAsia" w:ascii="宋体" w:hAnsi="宋体" w:eastAsia="宋体"/>
          <w:color w:val="auto"/>
          <w:highlight w:val="none"/>
        </w:rPr>
        <w:t>说明</w:t>
      </w:r>
      <w:bookmarkEnd w:id="21"/>
    </w:p>
    <w:p>
      <w:pPr>
        <w:pStyle w:val="5"/>
        <w:widowControl w:val="0"/>
        <w:overflowPunct w:val="0"/>
        <w:spacing w:before="0" w:after="0" w:line="240" w:lineRule="auto"/>
        <w:rPr>
          <w:rFonts w:ascii="宋体" w:hAnsi="宋体" w:eastAsia="宋体"/>
          <w:color w:val="auto"/>
          <w:sz w:val="21"/>
          <w:szCs w:val="21"/>
          <w:highlight w:val="none"/>
        </w:rPr>
      </w:pPr>
      <w:bookmarkStart w:id="22" w:name="_Toc18488"/>
      <w:r>
        <w:rPr>
          <w:rFonts w:hint="eastAsia" w:ascii="宋体" w:hAnsi="宋体" w:eastAsia="宋体"/>
          <w:color w:val="auto"/>
          <w:sz w:val="21"/>
          <w:szCs w:val="21"/>
          <w:highlight w:val="none"/>
        </w:rPr>
        <w:t>1.适用范围</w:t>
      </w:r>
      <w:bookmarkEnd w:id="22"/>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招标范围：见本文件《用户需求书》</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23" w:name="_Toc13400"/>
      <w:r>
        <w:rPr>
          <w:rFonts w:hint="eastAsia" w:ascii="宋体" w:hAnsi="宋体" w:eastAsia="宋体"/>
          <w:color w:val="auto"/>
          <w:sz w:val="21"/>
          <w:szCs w:val="21"/>
          <w:highlight w:val="none"/>
        </w:rPr>
        <w:t>2.</w:t>
      </w:r>
      <w:bookmarkStart w:id="24" w:name="_Toc303084246"/>
      <w:bookmarkStart w:id="25" w:name="_Toc382049092"/>
      <w:bookmarkStart w:id="26" w:name="_Toc298847174"/>
      <w:bookmarkStart w:id="27" w:name="_Toc1530"/>
      <w:r>
        <w:rPr>
          <w:rFonts w:hint="eastAsia" w:ascii="宋体" w:hAnsi="宋体" w:eastAsia="宋体"/>
          <w:color w:val="auto"/>
          <w:sz w:val="21"/>
          <w:szCs w:val="21"/>
          <w:highlight w:val="none"/>
        </w:rPr>
        <w:t>定义</w:t>
      </w:r>
      <w:bookmarkEnd w:id="23"/>
      <w:bookmarkEnd w:id="24"/>
      <w:bookmarkEnd w:id="25"/>
      <w:bookmarkEnd w:id="26"/>
      <w:bookmarkEnd w:id="27"/>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采购人：</w:t>
      </w:r>
      <w:r>
        <w:rPr>
          <w:rFonts w:ascii="宋体" w:hAnsi="宋体" w:eastAsia="宋体"/>
          <w:color w:val="auto"/>
          <w:sz w:val="21"/>
          <w:szCs w:val="21"/>
          <w:highlight w:val="none"/>
        </w:rPr>
        <w:t>是指依法进行政府采购的国家机关、事业单位</w:t>
      </w:r>
      <w:r>
        <w:rPr>
          <w:rFonts w:hint="eastAsia" w:ascii="宋体" w:hAnsi="宋体" w:eastAsia="宋体"/>
          <w:color w:val="auto"/>
          <w:sz w:val="21"/>
          <w:szCs w:val="21"/>
          <w:highlight w:val="none"/>
        </w:rPr>
        <w:t>等</w:t>
      </w:r>
      <w:r>
        <w:rPr>
          <w:rFonts w:ascii="宋体" w:hAnsi="宋体" w:eastAsia="宋体"/>
          <w:color w:val="auto"/>
          <w:sz w:val="21"/>
          <w:szCs w:val="21"/>
          <w:highlight w:val="none"/>
        </w:rPr>
        <w:t>团体组织</w:t>
      </w:r>
      <w:r>
        <w:rPr>
          <w:rFonts w:hint="eastAsia" w:ascii="宋体" w:hAnsi="宋体" w:eastAsia="宋体"/>
          <w:color w:val="auto"/>
          <w:sz w:val="21"/>
          <w:szCs w:val="21"/>
          <w:highlight w:val="none"/>
        </w:rPr>
        <w:t>。</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投标人：响应招标并且符合招标文件规定资格条件和参加投标竞争的法人、其他组织或者自然人。</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法人：法人是依法在国内进行注册并具有民事权利能力和民事行为能力，依法独立享有民事权利和承担民事义务的组织。</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中标人：指经评标委员会评审推荐、采购人确认的获得本项目中标资格的投标人。</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采购代理机构：广东三方诚信招标有限公司东莞分公司。</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评标委员会：评标委员会是依据《中华人民共和国政府采购法》及其实施条例、《政府采购货物和服务招标投标管理办法》等组建的专门负责本次招标其评标工作的临时性机构。</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合同：指由本次招标所产生的合同或合约文件。</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公章：</w:t>
      </w:r>
      <w:r>
        <w:rPr>
          <w:rFonts w:ascii="宋体" w:hAnsi="宋体" w:eastAsia="宋体"/>
          <w:color w:val="auto"/>
          <w:sz w:val="21"/>
          <w:szCs w:val="21"/>
          <w:highlight w:val="none"/>
        </w:rPr>
        <w:t>公章是</w:t>
      </w:r>
      <w:r>
        <w:rPr>
          <w:rFonts w:ascii="宋体" w:hAnsi="宋体" w:eastAsia="宋体"/>
          <w:iCs/>
          <w:color w:val="auto"/>
          <w:sz w:val="21"/>
          <w:szCs w:val="21"/>
          <w:highlight w:val="none"/>
        </w:rPr>
        <w:t>指</w:t>
      </w:r>
      <w:r>
        <w:rPr>
          <w:rFonts w:hint="eastAsia" w:ascii="宋体" w:hAnsi="宋体" w:eastAsia="宋体"/>
          <w:iCs/>
          <w:color w:val="auto"/>
          <w:sz w:val="21"/>
          <w:szCs w:val="21"/>
          <w:highlight w:val="none"/>
        </w:rPr>
        <w:t>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r>
        <w:rPr>
          <w:rFonts w:hint="eastAsia" w:ascii="宋体" w:hAnsi="宋体" w:eastAsia="宋体"/>
          <w:color w:val="auto"/>
          <w:sz w:val="21"/>
          <w:szCs w:val="21"/>
          <w:highlight w:val="none"/>
        </w:rPr>
        <w:t>）</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时间</w:t>
      </w:r>
      <w:r>
        <w:rPr>
          <w:rFonts w:hint="eastAsia" w:ascii="宋体" w:hAnsi="宋体" w:eastAsia="宋体"/>
          <w:iCs/>
          <w:color w:val="auto"/>
          <w:sz w:val="21"/>
          <w:szCs w:val="21"/>
          <w:highlight w:val="none"/>
        </w:rPr>
        <w:t>：本文件规定按日计算期间的，开始当天不计入，从次日开始计算。期限的最后一日是国家法定节假日的，顺延到节假日后的次日为期限的最后一日。</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28" w:name="_Toc3780"/>
      <w:r>
        <w:rPr>
          <w:rFonts w:hint="eastAsia" w:ascii="宋体" w:hAnsi="宋体" w:eastAsia="宋体"/>
          <w:color w:val="auto"/>
          <w:sz w:val="21"/>
          <w:szCs w:val="21"/>
          <w:highlight w:val="none"/>
        </w:rPr>
        <w:t>3.货物和服务</w:t>
      </w:r>
      <w:bookmarkEnd w:id="28"/>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货物</w:t>
      </w:r>
      <w:r>
        <w:rPr>
          <w:rFonts w:ascii="宋体" w:hAnsi="宋体" w:eastAsia="宋体"/>
          <w:color w:val="auto"/>
          <w:sz w:val="21"/>
          <w:szCs w:val="21"/>
          <w:highlight w:val="none"/>
        </w:rPr>
        <w:t>是指各种形态和种类的物品，包括原材料、燃料、设备、产品等</w:t>
      </w:r>
      <w:r>
        <w:rPr>
          <w:rFonts w:hint="eastAsia" w:ascii="宋体" w:hAnsi="宋体" w:eastAsia="宋体"/>
          <w:color w:val="auto"/>
          <w:sz w:val="21"/>
          <w:szCs w:val="21"/>
          <w:highlight w:val="none"/>
        </w:rPr>
        <w:t>。</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服务是指</w:t>
      </w:r>
      <w:r>
        <w:rPr>
          <w:rFonts w:ascii="宋体" w:hAnsi="宋体" w:eastAsia="宋体"/>
          <w:color w:val="auto"/>
          <w:sz w:val="21"/>
          <w:szCs w:val="21"/>
          <w:highlight w:val="none"/>
        </w:rPr>
        <w:t>除货物和工程以外的其他政府采购对象</w:t>
      </w:r>
      <w:r>
        <w:rPr>
          <w:rFonts w:hint="eastAsia" w:ascii="宋体" w:hAnsi="宋体" w:eastAsia="宋体"/>
          <w:color w:val="auto"/>
          <w:sz w:val="21"/>
          <w:szCs w:val="21"/>
          <w:highlight w:val="none"/>
        </w:rPr>
        <w:t>。</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29" w:name="_Toc15945"/>
      <w:r>
        <w:rPr>
          <w:rFonts w:hint="eastAsia" w:ascii="宋体" w:hAnsi="宋体" w:eastAsia="宋体"/>
          <w:color w:val="auto"/>
          <w:sz w:val="21"/>
          <w:szCs w:val="21"/>
          <w:highlight w:val="none"/>
        </w:rPr>
        <w:t>4.投标费用</w:t>
      </w:r>
      <w:bookmarkEnd w:id="29"/>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投标人应承担所有与编写投标文件和参加投标有关的自身的所有费用，不论投标的结果如何，采购代理机构和采购人在任何情况下均无义务和责任承担这些费用。</w:t>
      </w:r>
    </w:p>
    <w:p>
      <w:pPr>
        <w:widowControl w:val="0"/>
        <w:adjustRightInd/>
        <w:snapToGrid/>
        <w:spacing w:after="0" w:line="360" w:lineRule="exact"/>
        <w:jc w:val="both"/>
        <w:rPr>
          <w:rFonts w:ascii="宋体" w:hAnsi="宋体" w:eastAsia="宋体"/>
          <w:color w:val="auto"/>
          <w:sz w:val="21"/>
          <w:szCs w:val="21"/>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30" w:name="_Toc25040"/>
      <w:r>
        <w:rPr>
          <w:rFonts w:hint="eastAsia" w:ascii="宋体" w:hAnsi="宋体" w:eastAsia="宋体"/>
          <w:color w:val="auto"/>
          <w:sz w:val="21"/>
          <w:szCs w:val="21"/>
          <w:highlight w:val="none"/>
        </w:rPr>
        <w:t>5.知识产权</w:t>
      </w:r>
      <w:bookmarkEnd w:id="30"/>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采购人享有本项目实施过程中产生的知识成果及知识产权。</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投标人如欲在项目实施过程中采用自有知识成果，需在投标文件中声明，并提供相关知识产权证明文件。使用该知识成果后，投标人需提供开发接口和开发手册等技术文档。</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采购货物为计算机办公设备时，投标人提供的产品必须是预装正版操作系统软件的计算机产品。</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lang w:eastAsia="zh-CN"/>
        </w:rPr>
        <w:t>投标人提供的服务、货物经认定存在侵权行为的，其投标无效，并上报相关监管部门。</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31" w:name="_Toc21930"/>
      <w:r>
        <w:rPr>
          <w:rFonts w:hint="eastAsia" w:ascii="宋体" w:hAnsi="宋体" w:eastAsia="宋体"/>
          <w:color w:val="auto"/>
          <w:sz w:val="21"/>
          <w:szCs w:val="21"/>
          <w:highlight w:val="none"/>
        </w:rPr>
        <w:t>6.关于联合体投标</w:t>
      </w:r>
      <w:bookmarkEnd w:id="31"/>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对接受联合体投标的项目：两个以上的自然人、法人或者其他组织可以组成一个联合体，以一个投标人的身份共同参加政府采购。</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以联合体形式参与项目的</w:t>
      </w:r>
      <w:r>
        <w:rPr>
          <w:rFonts w:hint="eastAsia" w:ascii="宋体" w:hAnsi="宋体" w:eastAsia="宋体"/>
          <w:color w:val="auto"/>
          <w:sz w:val="21"/>
          <w:szCs w:val="21"/>
          <w:highlight w:val="none"/>
          <w:lang w:eastAsia="zh-CN"/>
        </w:rPr>
        <w:t>供应商</w:t>
      </w:r>
      <w:r>
        <w:rPr>
          <w:rFonts w:hint="eastAsia" w:ascii="宋体" w:hAnsi="宋体" w:eastAsia="宋体"/>
          <w:color w:val="auto"/>
          <w:sz w:val="21"/>
          <w:szCs w:val="21"/>
          <w:highlight w:val="none"/>
        </w:rPr>
        <w:t>在领购谈判文件时，应提供所有联合体组成成员的营业执照复印件，并加盖各联合体组成成员的公章。</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联合体各方均应当符合《政府采购法》第二十二条规定的条件。</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采购人根据采购项目的特殊要求规定投标人特定条件的，联合体各方中至少应当有一方符合采购人规定的特定条件。</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联合体各方之间应当签订共同投标协议并</w:t>
      </w:r>
      <w:r>
        <w:rPr>
          <w:rFonts w:ascii="宋体" w:hAnsi="宋体" w:eastAsia="宋体"/>
          <w:color w:val="auto"/>
          <w:sz w:val="21"/>
          <w:szCs w:val="21"/>
          <w:highlight w:val="none"/>
        </w:rPr>
        <w:t>在投标文件内提交</w:t>
      </w:r>
      <w:r>
        <w:rPr>
          <w:rFonts w:hint="eastAsia" w:ascii="宋体" w:hAnsi="宋体" w:eastAsia="宋体"/>
          <w:color w:val="auto"/>
          <w:sz w:val="21"/>
          <w:szCs w:val="21"/>
          <w:highlight w:val="none"/>
        </w:rPr>
        <w:t>，明确约定联合体各方承担的工作和相应的责任。联合体各方签订共同投标协议后，不得再以自己名义单独在同一项目中投标，也不得组成新的联合体参加同一项目投标。</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供应商为联合体的，可以由联合体中的任意一方交纳保证金，其交纳的保证金对联合体各方均具有约束力。</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联合体中有同类资质的投标人按照联合体分工承担相同工作的，应当按照资质等级较低的供应商确定资质等级。</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联合体各方均为小型、微型企业的，各方均应提供《中小企业声明函》；中小企业声明函作为联合体一方参与政府采购活动，且《共同投标协议书》中约定，小型、微型企业的协议合同金额占到联合体协议合同总金额30%以上的，应附中小微企业的《中小企业声明函》。</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除联合体协议明确授权盖章单位外，联合体投标时投标文件中所有要求盖章的地方均须加盖联合体所有组成成员的公章，否则该处盖章无效。</w:t>
      </w:r>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联合体进行评分时，业绩、奖项等的认定和评分根据共同投标协议约定的各方承担的工作和相应责任，确定一方打分，不累加打分；评审标准不明确或难以明确以哪一方计算评分情况时，则按主体方情况评分。</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32" w:name="_Toc16571"/>
      <w:r>
        <w:rPr>
          <w:rFonts w:hint="eastAsia" w:ascii="宋体" w:hAnsi="宋体" w:eastAsia="宋体"/>
          <w:color w:val="auto"/>
          <w:sz w:val="21"/>
          <w:szCs w:val="21"/>
          <w:highlight w:val="none"/>
        </w:rPr>
        <w:t>7.关于分支机构投标</w:t>
      </w:r>
      <w:bookmarkEnd w:id="32"/>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bookmarkStart w:id="33" w:name="EB389f116341dd4693875bc7987e7327f3"/>
    </w:p>
    <w:p>
      <w:pPr>
        <w:keepNext w:val="0"/>
        <w:keepLines w:val="0"/>
        <w:pageBreakBefore w:val="0"/>
        <w:widowControl w:val="0"/>
        <w:numPr>
          <w:ilvl w:val="1"/>
          <w:numId w:val="5"/>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highlight w:val="none"/>
        </w:rPr>
      </w:pPr>
      <w:r>
        <w:rPr>
          <w:rFonts w:ascii="宋体" w:hAnsi="宋体" w:eastAsia="宋体"/>
          <w:color w:val="auto"/>
          <w:sz w:val="21"/>
          <w:szCs w:val="21"/>
          <w:highlight w:val="none"/>
        </w:rPr>
        <w:t>对可接受</w:t>
      </w:r>
      <w:r>
        <w:rPr>
          <w:rFonts w:hint="eastAsia" w:ascii="宋体" w:hAnsi="宋体" w:eastAsia="宋体"/>
          <w:color w:val="auto"/>
          <w:sz w:val="21"/>
          <w:szCs w:val="21"/>
          <w:highlight w:val="none"/>
        </w:rPr>
        <w:t>分支机构</w:t>
      </w:r>
      <w:r>
        <w:rPr>
          <w:rFonts w:ascii="宋体" w:hAnsi="宋体" w:eastAsia="宋体"/>
          <w:color w:val="auto"/>
          <w:sz w:val="21"/>
          <w:szCs w:val="21"/>
          <w:highlight w:val="none"/>
        </w:rPr>
        <w:t>投标的项目，</w:t>
      </w:r>
      <w:r>
        <w:rPr>
          <w:rFonts w:hint="eastAsia" w:ascii="宋体" w:hAnsi="宋体" w:eastAsia="宋体"/>
          <w:color w:val="auto"/>
          <w:sz w:val="21"/>
          <w:szCs w:val="21"/>
          <w:highlight w:val="none"/>
        </w:rPr>
        <w:t>分支机构</w:t>
      </w:r>
      <w:r>
        <w:rPr>
          <w:rFonts w:ascii="宋体" w:hAnsi="宋体" w:eastAsia="宋体"/>
          <w:color w:val="auto"/>
          <w:sz w:val="21"/>
          <w:szCs w:val="21"/>
          <w:highlight w:val="none"/>
        </w:rPr>
        <w:t>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33"/>
    </w:p>
    <w:p>
      <w:pPr>
        <w:rPr>
          <w:color w:val="auto"/>
          <w:highlight w:val="none"/>
        </w:rPr>
      </w:pPr>
    </w:p>
    <w:p>
      <w:pPr>
        <w:pStyle w:val="4"/>
        <w:numPr>
          <w:ilvl w:val="0"/>
          <w:numId w:val="4"/>
        </w:numPr>
        <w:spacing w:before="0" w:after="0" w:line="480" w:lineRule="auto"/>
        <w:jc w:val="center"/>
        <w:rPr>
          <w:rFonts w:ascii="宋体" w:hAnsi="宋体" w:eastAsia="宋体"/>
          <w:color w:val="auto"/>
          <w:highlight w:val="none"/>
        </w:rPr>
      </w:pPr>
      <w:bookmarkStart w:id="34" w:name="_Toc17879"/>
      <w:r>
        <w:rPr>
          <w:rFonts w:hint="eastAsia" w:ascii="宋体" w:hAnsi="宋体" w:eastAsia="宋体"/>
          <w:color w:val="auto"/>
          <w:highlight w:val="none"/>
        </w:rPr>
        <w:t>招标文件</w:t>
      </w:r>
      <w:bookmarkEnd w:id="34"/>
    </w:p>
    <w:p>
      <w:pPr>
        <w:pStyle w:val="5"/>
        <w:widowControl w:val="0"/>
        <w:overflowPunct w:val="0"/>
        <w:spacing w:before="0" w:after="0" w:line="240" w:lineRule="auto"/>
        <w:rPr>
          <w:rFonts w:ascii="宋体" w:hAnsi="宋体" w:eastAsia="宋体"/>
          <w:color w:val="auto"/>
          <w:sz w:val="21"/>
          <w:szCs w:val="21"/>
          <w:highlight w:val="none"/>
        </w:rPr>
      </w:pPr>
      <w:bookmarkStart w:id="35" w:name="_Toc21771"/>
      <w:r>
        <w:rPr>
          <w:rFonts w:hint="eastAsia" w:ascii="宋体" w:hAnsi="宋体" w:eastAsia="宋体"/>
          <w:color w:val="auto"/>
          <w:sz w:val="21"/>
          <w:szCs w:val="21"/>
          <w:highlight w:val="none"/>
        </w:rPr>
        <w:t>8.招标文件的组成</w:t>
      </w:r>
      <w:bookmarkEnd w:id="35"/>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（1）投标邀请书；</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（2）投标资料表；</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（3）用户需求书；</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（4）投标人须知；</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（5）合同文本</w:t>
      </w:r>
      <w:r>
        <w:rPr>
          <w:rFonts w:hint="eastAsia" w:ascii="宋体" w:hAnsi="宋体" w:eastAsia="宋体"/>
          <w:color w:val="auto"/>
          <w:sz w:val="21"/>
          <w:szCs w:val="21"/>
          <w:highlight w:val="none"/>
          <w:lang w:eastAsia="zh-CN"/>
        </w:rPr>
        <w:t>参考格式</w:t>
      </w:r>
      <w:r>
        <w:rPr>
          <w:rFonts w:hint="eastAsia" w:ascii="宋体" w:hAnsi="宋体" w:eastAsia="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（6）投标文件</w:t>
      </w:r>
      <w:r>
        <w:rPr>
          <w:rFonts w:hint="eastAsia" w:ascii="宋体" w:hAnsi="宋体" w:eastAsia="宋体"/>
          <w:color w:val="auto"/>
          <w:sz w:val="21"/>
          <w:szCs w:val="21"/>
          <w:highlight w:val="none"/>
          <w:lang w:eastAsia="zh-CN"/>
        </w:rPr>
        <w:t>参考</w:t>
      </w:r>
      <w:r>
        <w:rPr>
          <w:rFonts w:hint="eastAsia" w:ascii="宋体" w:hAnsi="宋体" w:eastAsia="宋体"/>
          <w:color w:val="auto"/>
          <w:sz w:val="21"/>
          <w:szCs w:val="21"/>
          <w:highlight w:val="none"/>
        </w:rPr>
        <w:t>格式；</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（7）在招标过程中由采购代理机构发出的澄清更正文件等。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36" w:name="_Toc14217"/>
      <w:r>
        <w:rPr>
          <w:rFonts w:hint="eastAsia" w:ascii="宋体" w:hAnsi="宋体" w:eastAsia="宋体"/>
          <w:color w:val="auto"/>
          <w:sz w:val="21"/>
          <w:szCs w:val="21"/>
          <w:highlight w:val="none"/>
        </w:rPr>
        <w:t>9.招标文件的澄清或修改</w:t>
      </w:r>
      <w:bookmarkEnd w:id="36"/>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keepNext w:val="0"/>
        <w:keepLines w:val="0"/>
        <w:pageBreakBefore w:val="0"/>
        <w:widowControl w:val="0"/>
        <w:numPr>
          <w:ilvl w:val="1"/>
          <w:numId w:val="5"/>
        </w:numPr>
        <w:kinsoku/>
        <w:wordWrap/>
        <w:overflowPunct/>
        <w:topLinePunct w:val="0"/>
        <w:autoSpaceDE/>
        <w:autoSpaceDN/>
        <w:bidi w:val="0"/>
        <w:adjustRightInd/>
        <w:snapToGrid/>
        <w:spacing w:after="0" w:line="360" w:lineRule="exact"/>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采购人或者采购代理机构可以对已发出的招标文件、资格预审文件、投标邀请书进行必要的澄清或者修改。澄清或者修改的内容为招标文件、资格预审文件、投标邀请书的组成部分，</w:t>
      </w:r>
      <w:r>
        <w:rPr>
          <w:rFonts w:ascii="宋体" w:hAnsi="宋体" w:eastAsia="宋体"/>
          <w:color w:val="auto"/>
          <w:sz w:val="21"/>
          <w:szCs w:val="21"/>
          <w:highlight w:val="none"/>
        </w:rPr>
        <w:t>具有约束作用</w:t>
      </w:r>
      <w:r>
        <w:rPr>
          <w:rFonts w:hint="eastAsia" w:ascii="宋体" w:hAnsi="宋体" w:eastAsia="宋体"/>
          <w:color w:val="auto"/>
          <w:sz w:val="21"/>
          <w:szCs w:val="21"/>
          <w:highlight w:val="none"/>
        </w:rPr>
        <w:t>。</w:t>
      </w:r>
      <w:r>
        <w:rPr>
          <w:rFonts w:ascii="宋体" w:hAnsi="宋体" w:eastAsia="宋体"/>
          <w:color w:val="auto"/>
          <w:sz w:val="21"/>
          <w:szCs w:val="21"/>
          <w:highlight w:val="none"/>
        </w:rPr>
        <w:t>当招标文件、招标文件的澄清</w:t>
      </w:r>
      <w:r>
        <w:rPr>
          <w:rFonts w:hint="eastAsia" w:ascii="宋体" w:hAnsi="宋体" w:eastAsia="宋体"/>
          <w:color w:val="auto"/>
          <w:sz w:val="21"/>
          <w:szCs w:val="21"/>
          <w:highlight w:val="none"/>
        </w:rPr>
        <w:t>或</w:t>
      </w:r>
      <w:r>
        <w:rPr>
          <w:rFonts w:ascii="宋体" w:hAnsi="宋体" w:eastAsia="宋体"/>
          <w:color w:val="auto"/>
          <w:sz w:val="21"/>
          <w:szCs w:val="21"/>
          <w:highlight w:val="none"/>
        </w:rPr>
        <w:t>修改等在同一内容的表述上不一致时，以最后发出的书面文件</w:t>
      </w:r>
      <w:r>
        <w:rPr>
          <w:rFonts w:hint="eastAsia" w:ascii="宋体" w:hAnsi="宋体" w:eastAsia="宋体"/>
          <w:color w:val="auto"/>
          <w:sz w:val="21"/>
          <w:szCs w:val="21"/>
          <w:highlight w:val="none"/>
        </w:rPr>
        <w:t>及公告</w:t>
      </w:r>
      <w:r>
        <w:rPr>
          <w:rFonts w:ascii="宋体" w:hAnsi="宋体" w:eastAsia="宋体"/>
          <w:color w:val="auto"/>
          <w:sz w:val="21"/>
          <w:szCs w:val="21"/>
          <w:highlight w:val="none"/>
        </w:rPr>
        <w:t>为准。</w:t>
      </w:r>
    </w:p>
    <w:p>
      <w:pPr>
        <w:keepNext w:val="0"/>
        <w:keepLines w:val="0"/>
        <w:pageBreakBefore w:val="0"/>
        <w:widowControl w:val="0"/>
        <w:numPr>
          <w:ilvl w:val="1"/>
          <w:numId w:val="5"/>
        </w:numPr>
        <w:kinsoku/>
        <w:wordWrap/>
        <w:overflowPunct/>
        <w:topLinePunct w:val="0"/>
        <w:autoSpaceDE/>
        <w:autoSpaceDN/>
        <w:bidi w:val="0"/>
        <w:adjustRightInd/>
        <w:snapToGrid/>
        <w:spacing w:after="0" w:line="360" w:lineRule="exact"/>
        <w:ind w:left="567" w:hanging="567"/>
        <w:jc w:val="both"/>
        <w:textAlignment w:val="auto"/>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招标期间，投标人有义务上网查看，公告一经上网发布，即视为送达。因投标人未及时上网查看而造成的所有后果，由投标人自行承担。</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4"/>
        <w:numPr>
          <w:ilvl w:val="0"/>
          <w:numId w:val="4"/>
        </w:numPr>
        <w:spacing w:before="0" w:after="0" w:line="480" w:lineRule="auto"/>
        <w:jc w:val="center"/>
        <w:rPr>
          <w:rFonts w:ascii="宋体" w:hAnsi="宋体" w:eastAsia="宋体"/>
          <w:color w:val="auto"/>
          <w:highlight w:val="none"/>
        </w:rPr>
      </w:pPr>
      <w:bookmarkStart w:id="37" w:name="_Toc23726"/>
      <w:r>
        <w:rPr>
          <w:rFonts w:hint="eastAsia" w:ascii="宋体" w:hAnsi="宋体" w:eastAsia="宋体"/>
          <w:color w:val="auto"/>
          <w:highlight w:val="none"/>
        </w:rPr>
        <w:t>投标文件的编制</w:t>
      </w:r>
      <w:bookmarkEnd w:id="37"/>
    </w:p>
    <w:p>
      <w:pPr>
        <w:pStyle w:val="5"/>
        <w:widowControl w:val="0"/>
        <w:overflowPunct w:val="0"/>
        <w:spacing w:before="0" w:after="0" w:line="240" w:lineRule="auto"/>
        <w:rPr>
          <w:rFonts w:ascii="宋体" w:hAnsi="宋体" w:eastAsia="宋体"/>
          <w:color w:val="auto"/>
          <w:sz w:val="21"/>
          <w:szCs w:val="21"/>
          <w:highlight w:val="none"/>
        </w:rPr>
      </w:pPr>
      <w:bookmarkStart w:id="38" w:name="_Toc20623"/>
      <w:r>
        <w:rPr>
          <w:rFonts w:hint="eastAsia" w:ascii="宋体" w:hAnsi="宋体" w:eastAsia="宋体"/>
          <w:color w:val="auto"/>
          <w:sz w:val="21"/>
          <w:szCs w:val="21"/>
          <w:highlight w:val="none"/>
        </w:rPr>
        <w:t>10.投标文件的语言及度量衡单位</w:t>
      </w:r>
      <w:bookmarkEnd w:id="38"/>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除非招标文件在技术规格中另有规定，投标人在投标文件中及其与采购代理机构和采购人所有往来文件中的所有</w:t>
      </w:r>
      <w:r>
        <w:rPr>
          <w:rFonts w:ascii="宋体" w:hAnsi="宋体" w:eastAsia="宋体"/>
          <w:color w:val="auto"/>
          <w:sz w:val="21"/>
          <w:szCs w:val="21"/>
          <w:highlight w:val="none"/>
        </w:rPr>
        <w:t>计量单位</w:t>
      </w:r>
      <w:r>
        <w:rPr>
          <w:rFonts w:hint="eastAsia" w:ascii="宋体" w:hAnsi="宋体" w:eastAsia="宋体"/>
          <w:color w:val="auto"/>
          <w:sz w:val="21"/>
          <w:szCs w:val="21"/>
          <w:highlight w:val="none"/>
        </w:rPr>
        <w:t>均应采用中华人民共和国法定计量单位</w:t>
      </w:r>
      <w:r>
        <w:rPr>
          <w:rFonts w:ascii="宋体" w:hAnsi="宋体" w:eastAsia="宋体"/>
          <w:color w:val="auto"/>
          <w:sz w:val="21"/>
          <w:szCs w:val="21"/>
          <w:highlight w:val="none"/>
        </w:rPr>
        <w:t>。</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39" w:name="_Toc382049103"/>
      <w:bookmarkStart w:id="40" w:name="_Toc28866"/>
      <w:bookmarkStart w:id="41" w:name="_Toc307934854"/>
      <w:bookmarkStart w:id="42" w:name="_Toc303084256"/>
      <w:bookmarkStart w:id="43" w:name="_Toc12145"/>
      <w:r>
        <w:rPr>
          <w:rFonts w:hint="eastAsia" w:ascii="宋体" w:hAnsi="宋体" w:eastAsia="宋体"/>
          <w:color w:val="auto"/>
          <w:sz w:val="21"/>
          <w:szCs w:val="21"/>
          <w:highlight w:val="none"/>
        </w:rPr>
        <w:t>11.</w:t>
      </w:r>
      <w:r>
        <w:rPr>
          <w:rFonts w:ascii="宋体" w:hAnsi="宋体" w:eastAsia="宋体"/>
          <w:color w:val="auto"/>
          <w:sz w:val="21"/>
          <w:szCs w:val="21"/>
          <w:highlight w:val="none"/>
        </w:rPr>
        <w:t>投标文件的组成</w:t>
      </w:r>
      <w:bookmarkEnd w:id="39"/>
      <w:bookmarkEnd w:id="40"/>
      <w:bookmarkEnd w:id="41"/>
      <w:bookmarkEnd w:id="42"/>
      <w:bookmarkEnd w:id="43"/>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包括但不限于招标文件附件格式中要求提供的表格。</w:t>
      </w:r>
    </w:p>
    <w:p>
      <w:pPr>
        <w:widowControl w:val="0"/>
        <w:numPr>
          <w:ilvl w:val="1"/>
          <w:numId w:val="5"/>
        </w:numPr>
        <w:adjustRightInd/>
        <w:snapToGrid/>
        <w:spacing w:after="0" w:line="360" w:lineRule="exact"/>
        <w:jc w:val="both"/>
        <w:rPr>
          <w:color w:val="auto"/>
          <w:highlight w:val="none"/>
        </w:rPr>
      </w:pPr>
      <w:r>
        <w:rPr>
          <w:rFonts w:hint="eastAsia" w:ascii="宋体" w:hAnsi="宋体" w:eastAsia="宋体"/>
          <w:color w:val="auto"/>
          <w:sz w:val="21"/>
          <w:szCs w:val="21"/>
          <w:highlight w:val="none"/>
        </w:rPr>
        <w:t>上述文件须按顺序装订成册，并编制投标文件目录。除上述文件资料外投标人还须按投标人须知的要求制作“开标文件”。“开标文件”作为投标文件的一部分，但须单独密封。</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44" w:name="_Toc30189"/>
      <w:r>
        <w:rPr>
          <w:rFonts w:hint="eastAsia" w:ascii="宋体" w:hAnsi="宋体" w:eastAsia="宋体"/>
          <w:color w:val="auto"/>
          <w:sz w:val="21"/>
          <w:szCs w:val="21"/>
          <w:highlight w:val="none"/>
        </w:rPr>
        <w:t>12.投标文件编制</w:t>
      </w:r>
      <w:bookmarkEnd w:id="44"/>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bookmarkStart w:id="45" w:name="_Toc303084258"/>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投标人应按招标文件的规定以及附件要求的内容和格式完整地填写</w:t>
      </w:r>
      <w:r>
        <w:rPr>
          <w:rFonts w:ascii="宋体" w:hAnsi="宋体" w:eastAsia="宋体"/>
          <w:color w:val="auto"/>
          <w:sz w:val="21"/>
          <w:szCs w:val="21"/>
          <w:highlight w:val="none"/>
        </w:rPr>
        <w:t>（表格可以按同样格式扩展）</w:t>
      </w:r>
      <w:r>
        <w:rPr>
          <w:rFonts w:hint="eastAsia" w:ascii="宋体" w:hAnsi="宋体" w:eastAsia="宋体"/>
          <w:color w:val="auto"/>
          <w:sz w:val="21"/>
          <w:szCs w:val="21"/>
          <w:highlight w:val="none"/>
        </w:rPr>
        <w:t>和提供资料，投标人必须对投标文件所提供的全部材料的真实性承担法律责任，并无条件接受采购人或采购代理机构及政府采购监督管理部门等对其中任何资料进行核实的要求。</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因投标文件编制存在歧义对投标人产生负面影响的，投标人自行承担后果。</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投标单位名称与投标人公章不一致，若投标单位名称已进行变更，应在投标文件中提供相应的证明材料并加盖公章，否则投标文件无效。</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投标文件密封、标记及内容与本项目采购信息不符，导致无法分辨所投项目为本项目的，投标文件无效。</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投标人须客观撰写投标人简介（格式自理，并提供相关证明）以及所投的产品或服务说明。</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投标文件若出现以下内容，经评标委员会认定有可能间接影响评审秩序，</w:t>
      </w:r>
      <w:r>
        <w:rPr>
          <w:rFonts w:hint="eastAsia" w:ascii="宋体" w:hAnsi="宋体" w:eastAsia="宋体"/>
          <w:color w:val="auto"/>
          <w:sz w:val="21"/>
          <w:szCs w:val="21"/>
          <w:highlight w:val="none"/>
          <w:lang w:eastAsia="zh-CN"/>
        </w:rPr>
        <w:t>其投标无效：</w:t>
      </w:r>
    </w:p>
    <w:p>
      <w:pPr>
        <w:pStyle w:val="24"/>
        <w:widowControl w:val="0"/>
        <w:numPr>
          <w:ilvl w:val="0"/>
          <w:numId w:val="0"/>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lang w:val="en-US" w:eastAsia="zh-CN"/>
        </w:rPr>
        <w:t>1</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投标文件内出现无官方证明文件的行业地域排名或</w:t>
      </w:r>
      <w:r>
        <w:rPr>
          <w:rFonts w:ascii="宋体" w:hAnsi="宋体" w:eastAsia="宋体"/>
          <w:color w:val="auto"/>
          <w:sz w:val="21"/>
          <w:szCs w:val="21"/>
          <w:highlight w:val="none"/>
        </w:rPr>
        <w:t>使用“国家级”、“最高级”、“最佳”等用语</w:t>
      </w:r>
      <w:r>
        <w:rPr>
          <w:rFonts w:hint="eastAsia" w:ascii="宋体" w:hAnsi="宋体" w:eastAsia="宋体"/>
          <w:color w:val="auto"/>
          <w:sz w:val="21"/>
          <w:szCs w:val="21"/>
          <w:highlight w:val="none"/>
        </w:rPr>
        <w:t>字眼的。</w:t>
      </w:r>
    </w:p>
    <w:p>
      <w:pPr>
        <w:pStyle w:val="24"/>
        <w:widowControl w:val="0"/>
        <w:numPr>
          <w:ilvl w:val="0"/>
          <w:numId w:val="0"/>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lang w:val="en-US" w:eastAsia="zh-CN"/>
        </w:rPr>
        <w:t>2</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投标文件内出现恶意诋毁、</w:t>
      </w:r>
      <w:r>
        <w:rPr>
          <w:rFonts w:ascii="宋体" w:hAnsi="宋体" w:eastAsia="宋体"/>
          <w:color w:val="auto"/>
          <w:sz w:val="21"/>
          <w:szCs w:val="21"/>
          <w:highlight w:val="none"/>
        </w:rPr>
        <w:t>贬低其他生产经营者的商品或者服务</w:t>
      </w:r>
      <w:r>
        <w:rPr>
          <w:rFonts w:hint="eastAsia" w:ascii="宋体" w:hAnsi="宋体" w:eastAsia="宋体"/>
          <w:color w:val="auto"/>
          <w:sz w:val="21"/>
          <w:szCs w:val="21"/>
          <w:highlight w:val="none"/>
        </w:rPr>
        <w:t>的内容。</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有下列情形之一的，视为投标人串通投标，其投标无效：</w:t>
      </w:r>
    </w:p>
    <w:bookmarkEnd w:id="45"/>
    <w:p>
      <w:pPr>
        <w:widowControl w:val="0"/>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（一）不同投标人的投标文件由同一单位或者个人编制；</w:t>
      </w:r>
    </w:p>
    <w:p>
      <w:pPr>
        <w:widowControl w:val="0"/>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（二）不同投标人委托同一单位或者个人办理投标事宜；</w:t>
      </w:r>
    </w:p>
    <w:p>
      <w:pPr>
        <w:widowControl w:val="0"/>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（三）不同投标人的投标文件载明的项目管理成员或者联系人员为同一人；</w:t>
      </w:r>
    </w:p>
    <w:p>
      <w:pPr>
        <w:widowControl w:val="0"/>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（四）不同投标人的投标文件异常一致或者投标报价呈规律性差异；</w:t>
      </w:r>
    </w:p>
    <w:p>
      <w:pPr>
        <w:widowControl w:val="0"/>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（五）不同投标人的投标文件相互混装；</w:t>
      </w:r>
    </w:p>
    <w:p>
      <w:pPr>
        <w:widowControl w:val="0"/>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（六）不同投标人的投标保证金从同一单位或者个人的账户转出。</w:t>
      </w:r>
    </w:p>
    <w:p>
      <w:pPr>
        <w:widowControl w:val="0"/>
        <w:adjustRightInd/>
        <w:snapToGrid/>
        <w:spacing w:after="0" w:line="360" w:lineRule="exact"/>
        <w:jc w:val="both"/>
        <w:rPr>
          <w:rFonts w:hint="eastAsia"/>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46" w:name="_Toc259"/>
      <w:r>
        <w:rPr>
          <w:rFonts w:hint="eastAsia" w:ascii="宋体" w:hAnsi="宋体" w:eastAsia="宋体"/>
          <w:color w:val="auto"/>
          <w:sz w:val="21"/>
          <w:szCs w:val="21"/>
          <w:highlight w:val="none"/>
        </w:rPr>
        <w:t>13.投标报价说明</w:t>
      </w:r>
      <w:bookmarkEnd w:id="46"/>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本次招标，投标人应按用户需求中的要求进行投标报价，少报无效。</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投标人所提供的货物或服务均以人民币（或相关费率）报价。</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投标报价应包含完成本次招标所有服务内容的费用，包含各种税务费及合同实施过程中的全部费用和售后服务费等。</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中标后开出的所有发票必须与中标人的名称一致。</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47" w:name="_Toc27724"/>
      <w:r>
        <w:rPr>
          <w:rFonts w:hint="eastAsia" w:ascii="宋体" w:hAnsi="宋体" w:eastAsia="宋体"/>
          <w:color w:val="auto"/>
          <w:sz w:val="21"/>
          <w:szCs w:val="21"/>
          <w:highlight w:val="none"/>
        </w:rPr>
        <w:t>14.投标人所提供的服务或货物的证明文件</w:t>
      </w:r>
      <w:bookmarkEnd w:id="47"/>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bookmarkStart w:id="48" w:name="_Hlt107925668"/>
      <w:bookmarkEnd w:id="48"/>
      <w:bookmarkStart w:id="49" w:name="_Hlt107925638"/>
      <w:bookmarkEnd w:id="49"/>
      <w:r>
        <w:rPr>
          <w:rFonts w:hint="eastAsia" w:ascii="宋体" w:hAnsi="宋体" w:eastAsia="宋体"/>
          <w:color w:val="auto"/>
          <w:sz w:val="21"/>
          <w:szCs w:val="21"/>
          <w:highlight w:val="none"/>
        </w:rPr>
        <w:t>证明服务或货物的文件，它可以是文字资料、图纸和数据包括但不限于：服务主要内容、标准、质量、人员资质、计划安排、报告审核等的详细说明；对招标文件第三部分《用户需求书》中规定的要求进行详细应答和说明。</w:t>
      </w:r>
    </w:p>
    <w:p>
      <w:pPr>
        <w:pStyle w:val="24"/>
        <w:widowControl w:val="0"/>
        <w:adjustRightInd/>
        <w:snapToGrid/>
        <w:spacing w:after="0" w:line="360" w:lineRule="exact"/>
        <w:ind w:left="425" w:firstLine="0" w:firstLineChars="0"/>
        <w:jc w:val="both"/>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50" w:name="_Toc19520"/>
      <w:r>
        <w:rPr>
          <w:rFonts w:hint="eastAsia" w:ascii="宋体" w:hAnsi="宋体" w:eastAsia="宋体"/>
          <w:color w:val="auto"/>
          <w:sz w:val="21"/>
          <w:szCs w:val="21"/>
          <w:highlight w:val="none"/>
        </w:rPr>
        <w:t>15.★投标有效期</w:t>
      </w:r>
      <w:bookmarkEnd w:id="50"/>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投标文件应根据投标人须知的规定在投标截止日后的90天内保持有效。</w:t>
      </w:r>
    </w:p>
    <w:p>
      <w:pPr>
        <w:widowControl w:val="0"/>
        <w:adjustRightInd/>
        <w:snapToGrid/>
        <w:spacing w:after="0" w:line="360" w:lineRule="exact"/>
        <w:ind w:left="567"/>
        <w:jc w:val="both"/>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51" w:name="_Toc12456"/>
      <w:r>
        <w:rPr>
          <w:rFonts w:hint="eastAsia" w:ascii="宋体" w:hAnsi="宋体" w:eastAsia="宋体"/>
          <w:color w:val="auto"/>
          <w:sz w:val="21"/>
          <w:szCs w:val="21"/>
          <w:highlight w:val="none"/>
        </w:rPr>
        <w:t>16.★投标保证金</w:t>
      </w:r>
      <w:bookmarkEnd w:id="51"/>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bookmarkStart w:id="52" w:name="_Ref179619405"/>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投标人应按投标资料表中规定数额及法律规定的时间按相应包号保证金金额要求一次性提交投标保证金，以多次汇入达到招标文件要求金额的投标保证金无效。</w:t>
      </w:r>
      <w:bookmarkEnd w:id="52"/>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投标保证金金额与招标文件要求金额保持一致（详见投标资料表）。</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投标保证金有效期与投标有效期保持一致。</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投标人应一次性缴交招标文件规定数额的投标保证金，投标人与交款人名称必须一致，非投标人缴纳的投标保证金无效。</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采用银行转账、电汇方式提交的,付至采购代理机构指定账户上。 (详见投标人资料表)</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担保。是指由担保机构为供应商交纳投标保证金向采购人或者采购代理机构提供的保证担保。供应商在投标有效期内撤回投标文件或中标后不签订政府采购合同的，由担保机构按照担保函的约定履行支付投标保证金的责任。（投标担保格式详见附件《政府采购投标担保函》）</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采用《政府采购投标担保函》提交的，应符合下列规定：</w:t>
      </w:r>
    </w:p>
    <w:p>
      <w:pPr>
        <w:spacing w:after="0"/>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①投标担保函有效期应与投标有效期一致；</w:t>
      </w:r>
    </w:p>
    <w:p>
      <w:pPr>
        <w:spacing w:after="0"/>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②投标担保金额应与本项目的投标保证金一致；</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保证金不接受现金方式（包括以存现方式）提交，未按要求提交投标保证金的将导致废标。</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未中标的投标人的保证金在采购结果公示发出后5个工作日内退还，中标投标人的保证金在采购合同签订后5个工作日内退还。</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为方便退还未中标的投保人的保证金，投标人应制作《投标保证金汇入情况说明》随开标文件一并递交。</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有下列情形之一的，投标保证金将不予退还：</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（1）投标人在提交响应文件截止时间后撤回响应文件的；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（2）投标人在响应文件中提供虚假材料的；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（3）除因不可抗力或谈判文件、询价通知书认可的情形以外，中标单位不与采购人签订合同的；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（4）投标人与采购人、其他供应商或者采购代理机构恶意串通的；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（5）招标文件规定的其他情形。</w:t>
      </w:r>
      <w:r>
        <w:rPr>
          <w:rFonts w:ascii="宋体" w:hAnsi="宋体" w:eastAsia="宋体"/>
          <w:color w:val="auto"/>
          <w:sz w:val="21"/>
          <w:szCs w:val="21"/>
          <w:highlight w:val="none"/>
        </w:rPr>
        <w:t xml:space="preserve"> </w:t>
      </w:r>
    </w:p>
    <w:p>
      <w:pPr>
        <w:rPr>
          <w:color w:val="auto"/>
          <w:highlight w:val="none"/>
        </w:rPr>
      </w:pPr>
    </w:p>
    <w:p>
      <w:pPr>
        <w:pStyle w:val="4"/>
        <w:numPr>
          <w:ilvl w:val="0"/>
          <w:numId w:val="4"/>
        </w:numPr>
        <w:spacing w:before="0" w:after="0" w:line="480" w:lineRule="auto"/>
        <w:jc w:val="center"/>
        <w:rPr>
          <w:rFonts w:ascii="宋体" w:hAnsi="宋体" w:eastAsia="宋体"/>
          <w:color w:val="auto"/>
          <w:highlight w:val="none"/>
        </w:rPr>
      </w:pPr>
      <w:bookmarkStart w:id="53" w:name="_Toc31124"/>
      <w:r>
        <w:rPr>
          <w:rFonts w:hint="eastAsia" w:ascii="宋体" w:hAnsi="宋体" w:eastAsia="宋体"/>
          <w:color w:val="auto"/>
          <w:highlight w:val="none"/>
        </w:rPr>
        <w:t>投标文件的递交</w:t>
      </w:r>
      <w:bookmarkEnd w:id="53"/>
    </w:p>
    <w:p>
      <w:pPr>
        <w:pStyle w:val="5"/>
        <w:widowControl w:val="0"/>
        <w:overflowPunct w:val="0"/>
        <w:spacing w:before="0" w:after="0" w:line="240" w:lineRule="auto"/>
        <w:rPr>
          <w:rFonts w:ascii="宋体" w:hAnsi="宋体" w:eastAsia="宋体"/>
          <w:color w:val="auto"/>
          <w:sz w:val="21"/>
          <w:szCs w:val="21"/>
          <w:highlight w:val="none"/>
        </w:rPr>
      </w:pPr>
      <w:bookmarkStart w:id="54" w:name="_Toc24997"/>
      <w:bookmarkStart w:id="55" w:name="_Toc29590"/>
      <w:bookmarkStart w:id="56" w:name="_Toc303084264"/>
      <w:bookmarkStart w:id="57" w:name="_Toc382049111"/>
      <w:r>
        <w:rPr>
          <w:rFonts w:hint="eastAsia" w:ascii="宋体" w:hAnsi="宋体" w:eastAsia="宋体"/>
          <w:color w:val="auto"/>
          <w:sz w:val="21"/>
          <w:szCs w:val="21"/>
          <w:highlight w:val="none"/>
        </w:rPr>
        <w:t>17.</w:t>
      </w:r>
      <w:r>
        <w:rPr>
          <w:rFonts w:ascii="宋体" w:hAnsi="宋体" w:eastAsia="宋体"/>
          <w:color w:val="auto"/>
          <w:sz w:val="21"/>
          <w:szCs w:val="21"/>
          <w:highlight w:val="none"/>
        </w:rPr>
        <w:t>投标文件的</w:t>
      </w:r>
      <w:r>
        <w:rPr>
          <w:rFonts w:hint="eastAsia" w:ascii="宋体" w:hAnsi="宋体" w:eastAsia="宋体"/>
          <w:color w:val="auto"/>
          <w:sz w:val="21"/>
          <w:szCs w:val="21"/>
          <w:highlight w:val="none"/>
        </w:rPr>
        <w:t>装订，签署，</w:t>
      </w:r>
      <w:r>
        <w:rPr>
          <w:rFonts w:ascii="宋体" w:hAnsi="宋体" w:eastAsia="宋体"/>
          <w:color w:val="auto"/>
          <w:sz w:val="21"/>
          <w:szCs w:val="21"/>
          <w:highlight w:val="none"/>
        </w:rPr>
        <w:t>密封和标记</w:t>
      </w:r>
      <w:bookmarkEnd w:id="54"/>
      <w:bookmarkEnd w:id="55"/>
      <w:bookmarkEnd w:id="56"/>
      <w:bookmarkEnd w:id="57"/>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为方便评标委员会对投标文件进行评审</w:t>
      </w:r>
      <w:r>
        <w:rPr>
          <w:rFonts w:ascii="宋体" w:hAnsi="宋体" w:eastAsia="宋体"/>
          <w:color w:val="auto"/>
          <w:sz w:val="21"/>
          <w:szCs w:val="21"/>
          <w:highlight w:val="none"/>
        </w:rPr>
        <w:t>，</w:t>
      </w:r>
      <w:r>
        <w:rPr>
          <w:rFonts w:hint="eastAsia" w:ascii="宋体" w:hAnsi="宋体" w:eastAsia="宋体"/>
          <w:color w:val="auto"/>
          <w:sz w:val="21"/>
          <w:szCs w:val="21"/>
          <w:highlight w:val="none"/>
          <w:lang w:eastAsia="zh-CN"/>
        </w:rPr>
        <w:t>建议投标人对投标文件进行装订，</w:t>
      </w:r>
      <w:r>
        <w:rPr>
          <w:rFonts w:ascii="宋体" w:hAnsi="宋体" w:eastAsia="宋体"/>
          <w:color w:val="auto"/>
          <w:sz w:val="21"/>
          <w:szCs w:val="21"/>
          <w:highlight w:val="none"/>
        </w:rPr>
        <w:t>对未经装订的投标文件可能发生的文件缺</w:t>
      </w:r>
      <w:r>
        <w:rPr>
          <w:rFonts w:hint="eastAsia" w:ascii="宋体" w:hAnsi="宋体" w:eastAsia="宋体"/>
          <w:color w:val="auto"/>
          <w:sz w:val="21"/>
          <w:szCs w:val="21"/>
          <w:highlight w:val="none"/>
        </w:rPr>
        <w:t>损</w:t>
      </w:r>
      <w:r>
        <w:rPr>
          <w:rFonts w:ascii="宋体" w:hAnsi="宋体" w:eastAsia="宋体"/>
          <w:color w:val="auto"/>
          <w:sz w:val="21"/>
          <w:szCs w:val="21"/>
          <w:highlight w:val="none"/>
        </w:rPr>
        <w:t>，由此产生的后果由投标人承担。</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投标文件</w:t>
      </w:r>
      <w:r>
        <w:rPr>
          <w:rFonts w:hint="eastAsia" w:ascii="宋体" w:hAnsi="宋体" w:eastAsia="宋体"/>
          <w:color w:val="auto"/>
          <w:sz w:val="21"/>
          <w:szCs w:val="21"/>
          <w:highlight w:val="none"/>
        </w:rPr>
        <w:t>正本均须用不褪色墨水书写或打印。投标文件的副本可采用投标文件的正本复印件，每套</w:t>
      </w:r>
      <w:r>
        <w:rPr>
          <w:rFonts w:ascii="宋体" w:hAnsi="宋体" w:eastAsia="宋体"/>
          <w:color w:val="auto"/>
          <w:sz w:val="21"/>
          <w:szCs w:val="21"/>
          <w:highlight w:val="none"/>
        </w:rPr>
        <w:t>投标文件</w:t>
      </w:r>
      <w:r>
        <w:rPr>
          <w:rFonts w:hint="eastAsia" w:ascii="宋体" w:hAnsi="宋体" w:eastAsia="宋体"/>
          <w:color w:val="auto"/>
          <w:sz w:val="21"/>
          <w:szCs w:val="21"/>
          <w:highlight w:val="none"/>
        </w:rPr>
        <w:t>应当标</w:t>
      </w:r>
      <w:r>
        <w:rPr>
          <w:rFonts w:ascii="宋体" w:hAnsi="宋体" w:eastAsia="宋体"/>
          <w:color w:val="auto"/>
          <w:sz w:val="21"/>
          <w:szCs w:val="21"/>
          <w:highlight w:val="none"/>
        </w:rPr>
        <w:t>明“正本”</w:t>
      </w:r>
      <w:r>
        <w:rPr>
          <w:rFonts w:hint="eastAsia" w:ascii="宋体" w:hAnsi="宋体" w:eastAsia="宋体"/>
          <w:color w:val="auto"/>
          <w:sz w:val="21"/>
          <w:szCs w:val="21"/>
          <w:highlight w:val="none"/>
        </w:rPr>
        <w:t>、</w:t>
      </w:r>
      <w:r>
        <w:rPr>
          <w:rFonts w:ascii="宋体" w:hAnsi="宋体" w:eastAsia="宋体"/>
          <w:color w:val="auto"/>
          <w:sz w:val="21"/>
          <w:szCs w:val="21"/>
          <w:highlight w:val="none"/>
        </w:rPr>
        <w:t>“副本”</w:t>
      </w:r>
      <w:r>
        <w:rPr>
          <w:rFonts w:hint="eastAsia" w:ascii="宋体" w:hAnsi="宋体" w:eastAsia="宋体"/>
          <w:color w:val="auto"/>
          <w:sz w:val="21"/>
          <w:szCs w:val="21"/>
          <w:highlight w:val="none"/>
        </w:rPr>
        <w:t>的字样</w:t>
      </w:r>
      <w:r>
        <w:rPr>
          <w:rFonts w:ascii="宋体" w:hAnsi="宋体" w:eastAsia="宋体"/>
          <w:color w:val="auto"/>
          <w:sz w:val="21"/>
          <w:szCs w:val="21"/>
          <w:highlight w:val="none"/>
        </w:rPr>
        <w:t>。</w:t>
      </w:r>
      <w:r>
        <w:rPr>
          <w:rFonts w:hint="eastAsia" w:ascii="宋体" w:hAnsi="宋体" w:eastAsia="宋体"/>
          <w:color w:val="auto"/>
          <w:sz w:val="21"/>
          <w:szCs w:val="21"/>
          <w:highlight w:val="none"/>
        </w:rPr>
        <w:t>投标文件的【正本】及所有【副本】的封面及骑缝均须加盖投标人公章（文件每页盖章等同于盖骑缝章）。若</w:t>
      </w:r>
      <w:r>
        <w:rPr>
          <w:rFonts w:ascii="宋体" w:hAnsi="宋体" w:eastAsia="宋体"/>
          <w:color w:val="auto"/>
          <w:sz w:val="21"/>
          <w:szCs w:val="21"/>
          <w:highlight w:val="none"/>
        </w:rPr>
        <w:t>正本</w:t>
      </w:r>
      <w:r>
        <w:rPr>
          <w:rFonts w:hint="eastAsia" w:ascii="宋体" w:hAnsi="宋体" w:eastAsia="宋体"/>
          <w:color w:val="auto"/>
          <w:sz w:val="21"/>
          <w:szCs w:val="21"/>
          <w:highlight w:val="none"/>
        </w:rPr>
        <w:t>与</w:t>
      </w:r>
      <w:r>
        <w:rPr>
          <w:rFonts w:ascii="宋体" w:hAnsi="宋体" w:eastAsia="宋体"/>
          <w:color w:val="auto"/>
          <w:sz w:val="21"/>
          <w:szCs w:val="21"/>
          <w:highlight w:val="none"/>
        </w:rPr>
        <w:t>副本</w:t>
      </w:r>
      <w:r>
        <w:rPr>
          <w:rFonts w:hint="eastAsia" w:ascii="宋体" w:hAnsi="宋体" w:eastAsia="宋体"/>
          <w:color w:val="auto"/>
          <w:sz w:val="21"/>
          <w:szCs w:val="21"/>
          <w:highlight w:val="none"/>
        </w:rPr>
        <w:t>不符，以</w:t>
      </w:r>
      <w:r>
        <w:rPr>
          <w:rFonts w:ascii="宋体" w:hAnsi="宋体" w:eastAsia="宋体"/>
          <w:color w:val="auto"/>
          <w:sz w:val="21"/>
          <w:szCs w:val="21"/>
          <w:highlight w:val="none"/>
        </w:rPr>
        <w:t>正本为准。</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联合体投标文件的【正本】及【副本】的封面及骑缝均须加盖所有联合体组成成员的公章。（文件每页盖章等同于盖骑缝章）</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建议</w:t>
      </w:r>
      <w:r>
        <w:rPr>
          <w:rFonts w:hint="eastAsia" w:ascii="宋体" w:hAnsi="宋体" w:eastAsia="宋体"/>
          <w:color w:val="auto"/>
          <w:sz w:val="21"/>
          <w:szCs w:val="21"/>
          <w:highlight w:val="none"/>
        </w:rPr>
        <w:t>投标人将投标文件正本和所有的副本分开密封装在单独的信封中，且在信封上标明“正本”“副本”字样。然后再将所有信封封装在一个外层信封中。电子文件与正本密封包装，随正本提交。</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电子文件内容包括：由投标人自行制作的与正本文件一致的所有文件。电子文件</w:t>
      </w:r>
      <w:r>
        <w:rPr>
          <w:rFonts w:hint="eastAsia" w:ascii="宋体" w:hAnsi="宋体" w:eastAsia="宋体"/>
          <w:color w:val="auto"/>
          <w:sz w:val="21"/>
          <w:szCs w:val="21"/>
          <w:highlight w:val="none"/>
        </w:rPr>
        <w:t>由</w:t>
      </w:r>
      <w:r>
        <w:rPr>
          <w:rFonts w:ascii="宋体" w:hAnsi="宋体" w:eastAsia="宋体"/>
          <w:color w:val="auto"/>
          <w:sz w:val="21"/>
          <w:szCs w:val="21"/>
          <w:highlight w:val="none"/>
        </w:rPr>
        <w:t>光盘</w:t>
      </w:r>
      <w:r>
        <w:rPr>
          <w:rFonts w:hint="eastAsia" w:ascii="宋体" w:hAnsi="宋体" w:eastAsia="宋体"/>
          <w:color w:val="auto"/>
          <w:sz w:val="21"/>
          <w:szCs w:val="21"/>
          <w:highlight w:val="none"/>
        </w:rPr>
        <w:t>或U盘</w:t>
      </w:r>
      <w:r>
        <w:rPr>
          <w:rFonts w:ascii="宋体" w:hAnsi="宋体" w:eastAsia="宋体"/>
          <w:color w:val="auto"/>
          <w:sz w:val="21"/>
          <w:szCs w:val="21"/>
          <w:highlight w:val="none"/>
        </w:rPr>
        <w:t>储存</w:t>
      </w:r>
      <w:r>
        <w:rPr>
          <w:rFonts w:hint="eastAsia" w:ascii="宋体" w:hAnsi="宋体" w:eastAsia="宋体"/>
          <w:color w:val="auto"/>
          <w:sz w:val="21"/>
          <w:szCs w:val="21"/>
          <w:highlight w:val="none"/>
        </w:rPr>
        <w:t>，并注明投标人名称及项目名称、采购项目编号，随投标文件一同密封提交。</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除投标人对错误处修改外，全套投标文件应无涂改或行间插字和增删。如有修改，修改处</w:t>
      </w:r>
      <w:r>
        <w:rPr>
          <w:rFonts w:hint="eastAsia" w:ascii="宋体" w:hAnsi="宋体" w:eastAsia="宋体"/>
          <w:color w:val="auto"/>
          <w:sz w:val="21"/>
          <w:szCs w:val="21"/>
          <w:highlight w:val="none"/>
        </w:rPr>
        <w:t>须由法定代表人或其正式授权代表在旁边签字及盖章</w:t>
      </w:r>
      <w:r>
        <w:rPr>
          <w:rFonts w:ascii="宋体" w:hAnsi="宋体" w:eastAsia="宋体"/>
          <w:color w:val="auto"/>
          <w:sz w:val="21"/>
          <w:szCs w:val="21"/>
          <w:highlight w:val="none"/>
        </w:rPr>
        <w:t>。</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为方便开标唱标，投标人应将开标一览表和授权委托书单独密封提交，并在信封上标明“开标文件”字样。开标文件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开标文件”份数及签章等要求与投标文件正本相同（1份）。</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所有的信封均应注明： </w:t>
      </w:r>
    </w:p>
    <w:p>
      <w:pPr>
        <w:widowControl w:val="0"/>
        <w:numPr>
          <w:ilvl w:val="0"/>
          <w:numId w:val="6"/>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收件人：广东三方诚信招标有限公司东莞分公司</w:t>
      </w:r>
    </w:p>
    <w:p>
      <w:pPr>
        <w:widowControl w:val="0"/>
        <w:numPr>
          <w:ilvl w:val="0"/>
          <w:numId w:val="6"/>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投标单位名称：</w:t>
      </w:r>
    </w:p>
    <w:p>
      <w:pPr>
        <w:widowControl w:val="0"/>
        <w:numPr>
          <w:ilvl w:val="0"/>
          <w:numId w:val="6"/>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项目名称：</w:t>
      </w:r>
    </w:p>
    <w:p>
      <w:pPr>
        <w:widowControl w:val="0"/>
        <w:numPr>
          <w:ilvl w:val="0"/>
          <w:numId w:val="6"/>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采购项目编号：</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采购代理机构将拒绝接收出现以下情况的投标文件：</w:t>
      </w:r>
    </w:p>
    <w:p>
      <w:pPr>
        <w:widowControl w:val="0"/>
        <w:numPr>
          <w:ilvl w:val="0"/>
          <w:numId w:val="7"/>
        </w:numPr>
        <w:adjustRightInd/>
        <w:snapToGrid/>
        <w:spacing w:after="0" w:line="360" w:lineRule="exact"/>
        <w:jc w:val="both"/>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采用透明包装进行密封或未进行密封的投标文件；</w:t>
      </w:r>
    </w:p>
    <w:p>
      <w:pPr>
        <w:widowControl w:val="0"/>
        <w:numPr>
          <w:ilvl w:val="0"/>
          <w:numId w:val="7"/>
        </w:numPr>
        <w:adjustRightInd/>
        <w:snapToGrid/>
        <w:spacing w:after="0" w:line="360" w:lineRule="exact"/>
        <w:jc w:val="both"/>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密封破损导致投标文件内容直接或间接泄露的投标文件；</w:t>
      </w:r>
    </w:p>
    <w:p>
      <w:pPr>
        <w:widowControl w:val="0"/>
        <w:numPr>
          <w:ilvl w:val="0"/>
          <w:numId w:val="7"/>
        </w:numPr>
        <w:adjustRightInd/>
        <w:snapToGrid/>
        <w:spacing w:after="0" w:line="360" w:lineRule="exact"/>
        <w:jc w:val="both"/>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密封信封上项目编号错误的投标文件；</w:t>
      </w:r>
    </w:p>
    <w:p>
      <w:pPr>
        <w:widowControl w:val="0"/>
        <w:numPr>
          <w:ilvl w:val="0"/>
          <w:numId w:val="7"/>
        </w:numPr>
        <w:adjustRightInd/>
        <w:snapToGrid/>
        <w:spacing w:after="0" w:line="360" w:lineRule="exact"/>
        <w:jc w:val="both"/>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项目名称出现严重歧义或未标注所投项目信息导致无法分辨所投项目为本项目的投标文件；</w:t>
      </w:r>
    </w:p>
    <w:p>
      <w:pPr>
        <w:widowControl w:val="0"/>
        <w:numPr>
          <w:ilvl w:val="0"/>
          <w:numId w:val="7"/>
        </w:numPr>
        <w:adjustRightInd/>
        <w:snapToGrid/>
        <w:spacing w:after="0" w:line="360" w:lineRule="exact"/>
        <w:jc w:val="both"/>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采用传真、电传的投标文件；</w:t>
      </w:r>
    </w:p>
    <w:p>
      <w:pPr>
        <w:widowControl w:val="0"/>
        <w:numPr>
          <w:ilvl w:val="0"/>
          <w:numId w:val="7"/>
        </w:numPr>
        <w:adjustRightInd/>
        <w:snapToGrid/>
        <w:spacing w:after="0" w:line="360" w:lineRule="exact"/>
        <w:jc w:val="both"/>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招标文件规定的其他情形。</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采购代理机构对所有投标文件的误投或提前启封概不负责。</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投标人同时参加几个包投标时必须按招标文件要求按包号分别制作投标文件，分别密封递交。</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递交的投标文件中所提供的通讯方式应保持联络畅通，因联系不上而导致的所有后果由投标人自行承担。</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58" w:name="_Toc8628"/>
      <w:r>
        <w:rPr>
          <w:rFonts w:hint="eastAsia" w:ascii="宋体" w:hAnsi="宋体" w:eastAsia="宋体"/>
          <w:color w:val="auto"/>
          <w:sz w:val="21"/>
          <w:szCs w:val="21"/>
          <w:highlight w:val="none"/>
        </w:rPr>
        <w:t>18.迟交的投标文件</w:t>
      </w:r>
      <w:bookmarkEnd w:id="58"/>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投标人在投标截止时间之后提交的投标文件，采购代理机构将拒绝接收</w:t>
      </w:r>
      <w:r>
        <w:rPr>
          <w:rFonts w:ascii="宋体" w:hAnsi="宋体" w:eastAsia="宋体"/>
          <w:color w:val="auto"/>
          <w:sz w:val="21"/>
          <w:szCs w:val="21"/>
          <w:highlight w:val="none"/>
        </w:rPr>
        <w:t>。</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有违反其他法律规定情形的，采购代理机构将拒绝接收。</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59" w:name="_Toc13212"/>
      <w:r>
        <w:rPr>
          <w:rFonts w:hint="eastAsia" w:ascii="宋体" w:hAnsi="宋体" w:eastAsia="宋体"/>
          <w:color w:val="auto"/>
          <w:sz w:val="21"/>
          <w:szCs w:val="21"/>
          <w:highlight w:val="none"/>
        </w:rPr>
        <w:t>19.投标样品（如需提交）</w:t>
      </w:r>
      <w:bookmarkEnd w:id="59"/>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如有必要，采购代理机构可以要求投标人提供本服务项目涉及的部分设备或产品样品，投标人在投标时应提交《样品清单》。</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为方便评标，投标人在提供样品时，应在所提供的样品表面显著位置标注投标人的名称、包号、样品名称、招标文件规定的服务或货物编号。</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60" w:name="_Toc303084265"/>
      <w:bookmarkStart w:id="61" w:name="_Toc9777"/>
      <w:bookmarkStart w:id="62" w:name="_Toc382049112"/>
      <w:bookmarkStart w:id="63" w:name="_Toc5900"/>
      <w:r>
        <w:rPr>
          <w:rFonts w:hint="eastAsia" w:ascii="宋体" w:hAnsi="宋体" w:eastAsia="宋体"/>
          <w:color w:val="auto"/>
          <w:sz w:val="21"/>
          <w:szCs w:val="21"/>
          <w:highlight w:val="none"/>
        </w:rPr>
        <w:t>20.投标截止期</w:t>
      </w:r>
      <w:bookmarkEnd w:id="60"/>
      <w:bookmarkEnd w:id="61"/>
      <w:bookmarkEnd w:id="62"/>
      <w:bookmarkEnd w:id="63"/>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投标人应在招标文件规定的截止日期和时间内，将投标文件送达到指定地点。</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w:t>
      </w:r>
      <w:r>
        <w:rPr>
          <w:rFonts w:ascii="宋体" w:hAnsi="宋体" w:eastAsia="宋体"/>
          <w:color w:val="auto"/>
          <w:sz w:val="21"/>
          <w:szCs w:val="21"/>
          <w:highlight w:val="none"/>
        </w:rPr>
        <w:t>可按本须知规定以</w:t>
      </w:r>
      <w:r>
        <w:rPr>
          <w:rFonts w:hint="eastAsia" w:ascii="宋体" w:hAnsi="宋体" w:eastAsia="宋体"/>
          <w:color w:val="auto"/>
          <w:sz w:val="21"/>
          <w:szCs w:val="21"/>
          <w:highlight w:val="none"/>
        </w:rPr>
        <w:t>澄清或</w:t>
      </w:r>
      <w:r>
        <w:rPr>
          <w:rFonts w:ascii="宋体" w:hAnsi="宋体" w:eastAsia="宋体"/>
          <w:color w:val="auto"/>
          <w:sz w:val="21"/>
          <w:szCs w:val="21"/>
          <w:highlight w:val="none"/>
        </w:rPr>
        <w:t>修改通知的方式，酌情延长</w:t>
      </w:r>
      <w:r>
        <w:rPr>
          <w:rFonts w:hint="eastAsia" w:ascii="宋体" w:hAnsi="宋体" w:eastAsia="宋体"/>
          <w:color w:val="auto"/>
          <w:sz w:val="21"/>
          <w:szCs w:val="21"/>
          <w:highlight w:val="none"/>
        </w:rPr>
        <w:t>递</w:t>
      </w:r>
      <w:r>
        <w:rPr>
          <w:rFonts w:ascii="宋体" w:hAnsi="宋体" w:eastAsia="宋体"/>
          <w:color w:val="auto"/>
          <w:sz w:val="21"/>
          <w:szCs w:val="21"/>
          <w:highlight w:val="none"/>
        </w:rPr>
        <w:t>交投标文件的截止时间。在此情况下，投标人的所有权利和义务以及投标人受制约的截止时间，均以延长后新的投标截止时间为准。</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64" w:name="_Toc6003"/>
      <w:r>
        <w:rPr>
          <w:rFonts w:hint="eastAsia" w:ascii="宋体" w:hAnsi="宋体" w:eastAsia="宋体"/>
          <w:color w:val="auto"/>
          <w:sz w:val="21"/>
          <w:szCs w:val="21"/>
          <w:highlight w:val="none"/>
        </w:rPr>
        <w:t>21.投标文件的补充、修改与撤回</w:t>
      </w:r>
      <w:bookmarkEnd w:id="64"/>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投标人在提交投标文件截止时间前，可以对所提交的投标文件进行补充、修改或撤回，并以纸质版形式通知采购代理机构。在提交投标文件截止时间之后，投标人不得对其投标文件做出任何的补充和修改。</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投标人对投标文件的补充、修改的内容应当按招标文件要求的签署、盖章、密封后，作为投标文件的组成部分。并按照招标文件规定密封和标记的要求提交，并在投标文件密封袋上标明“补充、修改”字样。</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投标文件一经递交不予退还。</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在提交投标文件截止时间至投标有效期满之前，投标人不得撤回其投标，否则其投标保证金将不予退还。</w:t>
      </w:r>
    </w:p>
    <w:p>
      <w:pPr>
        <w:pStyle w:val="2"/>
        <w:rPr>
          <w:color w:val="auto"/>
          <w:highlight w:val="none"/>
        </w:rPr>
      </w:pPr>
    </w:p>
    <w:p>
      <w:pPr>
        <w:pStyle w:val="4"/>
        <w:numPr>
          <w:ilvl w:val="0"/>
          <w:numId w:val="4"/>
        </w:numPr>
        <w:spacing w:before="0" w:after="0" w:line="480" w:lineRule="auto"/>
        <w:jc w:val="center"/>
        <w:rPr>
          <w:rFonts w:ascii="宋体" w:hAnsi="宋体" w:eastAsia="宋体"/>
          <w:color w:val="auto"/>
          <w:highlight w:val="none"/>
        </w:rPr>
      </w:pPr>
      <w:bookmarkStart w:id="65" w:name="_Toc29574"/>
      <w:r>
        <w:rPr>
          <w:rFonts w:hint="eastAsia" w:ascii="宋体" w:hAnsi="宋体" w:eastAsia="宋体"/>
          <w:color w:val="auto"/>
          <w:highlight w:val="none"/>
        </w:rPr>
        <w:t>开标与评标</w:t>
      </w:r>
      <w:bookmarkEnd w:id="65"/>
    </w:p>
    <w:p>
      <w:pPr>
        <w:pStyle w:val="5"/>
        <w:widowControl w:val="0"/>
        <w:overflowPunct w:val="0"/>
        <w:spacing w:before="0" w:after="0" w:line="240" w:lineRule="auto"/>
        <w:rPr>
          <w:rFonts w:ascii="宋体" w:hAnsi="宋体" w:eastAsia="宋体"/>
          <w:color w:val="auto"/>
          <w:sz w:val="21"/>
          <w:szCs w:val="21"/>
          <w:highlight w:val="none"/>
        </w:rPr>
      </w:pPr>
      <w:bookmarkStart w:id="66" w:name="_Toc28458"/>
      <w:r>
        <w:rPr>
          <w:rFonts w:hint="eastAsia" w:ascii="宋体" w:hAnsi="宋体" w:eastAsia="宋体"/>
          <w:color w:val="auto"/>
          <w:sz w:val="21"/>
          <w:szCs w:val="21"/>
          <w:highlight w:val="none"/>
        </w:rPr>
        <w:t>22.开标</w:t>
      </w:r>
      <w:bookmarkEnd w:id="66"/>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采购代理机构按</w:t>
      </w:r>
      <w:r>
        <w:rPr>
          <w:rFonts w:ascii="宋体" w:hAnsi="宋体" w:eastAsia="宋体"/>
          <w:color w:val="auto"/>
          <w:sz w:val="21"/>
          <w:szCs w:val="21"/>
          <w:highlight w:val="none"/>
        </w:rPr>
        <w:t>本</w:t>
      </w:r>
      <w:r>
        <w:rPr>
          <w:rFonts w:hint="eastAsia" w:ascii="宋体" w:hAnsi="宋体" w:eastAsia="宋体"/>
          <w:color w:val="auto"/>
          <w:sz w:val="21"/>
          <w:szCs w:val="21"/>
          <w:highlight w:val="none"/>
        </w:rPr>
        <w:t>招标文件</w:t>
      </w:r>
      <w:r>
        <w:rPr>
          <w:rFonts w:ascii="宋体" w:hAnsi="宋体" w:eastAsia="宋体"/>
          <w:color w:val="auto"/>
          <w:sz w:val="21"/>
          <w:szCs w:val="21"/>
          <w:highlight w:val="none"/>
        </w:rPr>
        <w:t>所规定的时间和地点公开开标，并邀请所有投标人</w:t>
      </w:r>
      <w:r>
        <w:rPr>
          <w:rFonts w:hint="eastAsia" w:ascii="宋体" w:hAnsi="宋体" w:eastAsia="宋体"/>
          <w:color w:val="auto"/>
          <w:sz w:val="21"/>
          <w:szCs w:val="21"/>
          <w:highlight w:val="none"/>
        </w:rPr>
        <w:t>代表</w:t>
      </w:r>
      <w:r>
        <w:rPr>
          <w:rFonts w:ascii="宋体" w:hAnsi="宋体" w:eastAsia="宋体"/>
          <w:color w:val="auto"/>
          <w:sz w:val="21"/>
          <w:szCs w:val="21"/>
          <w:highlight w:val="none"/>
        </w:rPr>
        <w:t>参加。</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开标程序：</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开标</w:t>
      </w:r>
      <w:r>
        <w:rPr>
          <w:rFonts w:hint="eastAsia" w:ascii="宋体" w:hAnsi="宋体" w:eastAsia="宋体"/>
          <w:color w:val="auto"/>
          <w:sz w:val="21"/>
          <w:szCs w:val="21"/>
          <w:highlight w:val="none"/>
        </w:rPr>
        <w:t>会</w:t>
      </w:r>
      <w:r>
        <w:rPr>
          <w:rFonts w:ascii="宋体" w:hAnsi="宋体" w:eastAsia="宋体"/>
          <w:color w:val="auto"/>
          <w:sz w:val="21"/>
          <w:szCs w:val="21"/>
          <w:highlight w:val="none"/>
        </w:rPr>
        <w:t>由</w:t>
      </w:r>
      <w:r>
        <w:rPr>
          <w:rFonts w:hint="eastAsia" w:ascii="宋体" w:hAnsi="宋体" w:eastAsia="宋体"/>
          <w:color w:val="auto"/>
          <w:sz w:val="21"/>
          <w:szCs w:val="21"/>
          <w:highlight w:val="none"/>
        </w:rPr>
        <w:t>采购代理机构</w:t>
      </w:r>
      <w:r>
        <w:rPr>
          <w:rFonts w:ascii="宋体" w:hAnsi="宋体" w:eastAsia="宋体"/>
          <w:color w:val="auto"/>
          <w:sz w:val="21"/>
          <w:szCs w:val="21"/>
          <w:highlight w:val="none"/>
        </w:rPr>
        <w:t>主持</w:t>
      </w:r>
      <w:r>
        <w:rPr>
          <w:rFonts w:hint="eastAsia" w:ascii="宋体" w:hAnsi="宋体" w:eastAsia="宋体"/>
          <w:color w:val="auto"/>
          <w:sz w:val="21"/>
          <w:szCs w:val="21"/>
          <w:highlight w:val="none"/>
        </w:rPr>
        <w:t>，投标人的法定代表人或其授权代表携带有效身份证明准时参加开标会并签名报到。</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开标时，由投标人或者其推选的代表检查投标文件的密封情况；经确认无误后，由采购人或者采购代理机构工作人员当众拆封，宣布投标人名称、投标价格和招标文件规定的需要宣布的其他内容；</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对开标过程和开标记录有异议，以及认为采购人、采购代理机构相关工作人员有需要回避的情形的，应当场提出询问或者回避申请。开标现场未提出异议的视为认同开标结果。开标结束后，投标人对开标过程和开标记录不得再提出异议。</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投标人未参加开标的，视同认可开标结果。</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合格投标人不足3家的，不得开标；</w:t>
      </w:r>
    </w:p>
    <w:p>
      <w:pPr>
        <w:widowControl w:val="0"/>
        <w:numPr>
          <w:ilvl w:val="1"/>
          <w:numId w:val="5"/>
        </w:numPr>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开标过程应当由采购人或者采购代理机构负责记录，由参加开标的各投标人代表和相关工作人员签字确认。</w:t>
      </w:r>
    </w:p>
    <w:p>
      <w:pPr>
        <w:widowControl w:val="0"/>
        <w:adjustRightInd/>
        <w:snapToGrid/>
        <w:spacing w:after="0" w:line="360" w:lineRule="exact"/>
        <w:ind w:left="567"/>
        <w:jc w:val="both"/>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67" w:name="_Toc5524"/>
      <w:r>
        <w:rPr>
          <w:rFonts w:hint="eastAsia" w:ascii="宋体" w:hAnsi="宋体" w:eastAsia="宋体"/>
          <w:color w:val="auto"/>
          <w:sz w:val="21"/>
          <w:szCs w:val="21"/>
          <w:highlight w:val="none"/>
        </w:rPr>
        <w:t>23.评标委员会及评标方法</w:t>
      </w:r>
      <w:bookmarkEnd w:id="67"/>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评标委员会根据招标项目的特点进行组建，并负责评标工作。</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评审方法：本次招标的评审方法采用综合评分法。</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定标原则：在最大限度</w:t>
      </w:r>
      <w:r>
        <w:rPr>
          <w:rFonts w:ascii="宋体" w:hAnsi="宋体" w:eastAsia="宋体"/>
          <w:color w:val="auto"/>
          <w:sz w:val="21"/>
          <w:szCs w:val="21"/>
          <w:highlight w:val="none"/>
        </w:rPr>
        <w:t>满足招标文件</w:t>
      </w:r>
      <w:r>
        <w:rPr>
          <w:rFonts w:hint="eastAsia" w:ascii="宋体" w:hAnsi="宋体" w:eastAsia="宋体"/>
          <w:color w:val="auto"/>
          <w:sz w:val="21"/>
          <w:szCs w:val="21"/>
          <w:highlight w:val="none"/>
        </w:rPr>
        <w:t>实质性要求前提下，按照招标文件规定的各项评价因素进行量化打分，以评标总得分最高的投标人作为中标候选人或中标人。</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评标委员会对投标文件的评审内容，分为商务评议、技术评议和价格评议。评审流程包括符合性检查、澄清问题、比较与评价、推荐中标候选人或确定中标人、编写评标报告等步骤。</w:t>
      </w:r>
    </w:p>
    <w:p>
      <w:pPr>
        <w:widowControl w:val="0"/>
        <w:numPr>
          <w:ilvl w:val="1"/>
          <w:numId w:val="5"/>
        </w:numPr>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68" w:name="_Toc15231"/>
      <w:r>
        <w:rPr>
          <w:rFonts w:hint="eastAsia" w:ascii="宋体" w:hAnsi="宋体" w:eastAsia="宋体"/>
          <w:color w:val="auto"/>
          <w:sz w:val="21"/>
          <w:szCs w:val="21"/>
          <w:highlight w:val="none"/>
        </w:rPr>
        <w:t>24.评审原则及评标过程的保密</w:t>
      </w:r>
      <w:bookmarkEnd w:id="68"/>
    </w:p>
    <w:p>
      <w:pPr>
        <w:pStyle w:val="24"/>
        <w:widowControl w:val="0"/>
        <w:numPr>
          <w:ilvl w:val="0"/>
          <w:numId w:val="5"/>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评审的基本原则：评标委员会将依据《中华人民共和国政府采购法》及国家和地方政府有关法规的规定，遵循“</w:t>
      </w:r>
      <w:r>
        <w:rPr>
          <w:rFonts w:hint="eastAsia" w:ascii="宋体" w:hAnsi="宋体" w:eastAsia="宋体"/>
          <w:color w:val="auto"/>
          <w:sz w:val="21"/>
          <w:szCs w:val="21"/>
          <w:highlight w:val="none"/>
          <w:lang w:eastAsia="zh-CN"/>
        </w:rPr>
        <w:t>客观、公正、审慎</w:t>
      </w:r>
      <w:r>
        <w:rPr>
          <w:rFonts w:hint="eastAsia" w:ascii="宋体" w:hAnsi="宋体" w:eastAsia="宋体"/>
          <w:color w:val="auto"/>
          <w:sz w:val="21"/>
          <w:szCs w:val="21"/>
          <w:highlight w:val="none"/>
        </w:rPr>
        <w:t>”的原则进行评审工作。</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从公开开标到签订合同，凡与审查、澄清、评审和投标有关的资料以及定标意见相关的事项，均不得向投标人及与评标无关的其他人透露。</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任何单位和个人不得非法干预、影响评标的过程和结果。</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69" w:name="_Toc3762"/>
      <w:r>
        <w:rPr>
          <w:rFonts w:hint="eastAsia" w:ascii="宋体" w:hAnsi="宋体" w:eastAsia="宋体"/>
          <w:color w:val="auto"/>
          <w:sz w:val="21"/>
          <w:szCs w:val="21"/>
          <w:highlight w:val="none"/>
        </w:rPr>
        <w:t>25.投标文件的初审</w:t>
      </w:r>
      <w:bookmarkEnd w:id="69"/>
    </w:p>
    <w:p>
      <w:pPr>
        <w:pStyle w:val="24"/>
        <w:widowControl w:val="0"/>
        <w:numPr>
          <w:ilvl w:val="0"/>
          <w:numId w:val="5"/>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tabs>
          <w:tab w:val="left" w:pos="907"/>
        </w:tabs>
        <w:adjustRightInd/>
        <w:snapToGrid/>
        <w:spacing w:after="0" w:line="360" w:lineRule="exact"/>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开标结束后，采购人或者采购代理机构将依法对投标人的资格进行审查。资格审查时，投标人存在不符合资格性检查所要求事项情况的，投标无效。未通过资格审查的投标人不进入</w:t>
      </w:r>
      <w:r>
        <w:rPr>
          <w:rFonts w:hint="eastAsia" w:ascii="宋体" w:hAnsi="宋体" w:eastAsia="宋体"/>
          <w:color w:val="auto"/>
          <w:sz w:val="21"/>
          <w:szCs w:val="21"/>
          <w:highlight w:val="none"/>
          <w:lang w:eastAsia="zh-CN"/>
        </w:rPr>
        <w:t>符合性审查</w:t>
      </w:r>
      <w:r>
        <w:rPr>
          <w:rFonts w:hint="eastAsia" w:ascii="宋体" w:hAnsi="宋体" w:eastAsia="宋体"/>
          <w:color w:val="auto"/>
          <w:sz w:val="21"/>
          <w:szCs w:val="21"/>
          <w:highlight w:val="none"/>
        </w:rPr>
        <w:t>的评审</w:t>
      </w:r>
      <w:r>
        <w:rPr>
          <w:rFonts w:hint="eastAsia" w:ascii="宋体" w:hAnsi="宋体" w:eastAsia="宋体"/>
          <w:color w:val="auto"/>
          <w:sz w:val="21"/>
          <w:szCs w:val="21"/>
          <w:highlight w:val="none"/>
          <w:lang w:eastAsia="zh-CN"/>
        </w:rPr>
        <w:t>，</w:t>
      </w:r>
      <w:r>
        <w:rPr>
          <w:rFonts w:hint="eastAsia" w:ascii="宋体" w:hAnsi="宋体" w:eastAsia="宋体"/>
          <w:b/>
          <w:color w:val="auto"/>
          <w:sz w:val="21"/>
          <w:szCs w:val="21"/>
          <w:highlight w:val="none"/>
        </w:rPr>
        <w:t>资格性检查</w:t>
      </w:r>
      <w:r>
        <w:rPr>
          <w:rFonts w:hint="eastAsia" w:ascii="宋体" w:hAnsi="宋体" w:eastAsia="宋体"/>
          <w:b/>
          <w:color w:val="auto"/>
          <w:sz w:val="21"/>
          <w:szCs w:val="21"/>
          <w:highlight w:val="none"/>
          <w:lang w:eastAsia="zh-CN"/>
        </w:rPr>
        <w:t>中发现下列情形之一的，其投标作废标处理：</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1) 资格瑕疵</w:t>
      </w:r>
    </w:p>
    <w:p>
      <w:pPr>
        <w:widowControl w:val="0"/>
        <w:tabs>
          <w:tab w:val="left" w:pos="907"/>
        </w:tabs>
        <w:adjustRightInd/>
        <w:snapToGrid/>
        <w:spacing w:after="0" w:line="360" w:lineRule="exact"/>
        <w:ind w:left="567"/>
        <w:jc w:val="both"/>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包括但不限于：①资格证明文件未提供或不符合招标文件要求的；</w:t>
      </w:r>
      <w:r>
        <w:rPr>
          <w:rFonts w:ascii="宋体" w:hAnsi="宋体" w:eastAsia="宋体"/>
          <w:color w:val="auto"/>
          <w:sz w:val="21"/>
          <w:szCs w:val="21"/>
          <w:highlight w:val="none"/>
        </w:rPr>
        <w:t xml:space="preserve"> </w:t>
      </w:r>
      <w:r>
        <w:rPr>
          <w:rFonts w:hint="eastAsia" w:ascii="宋体" w:hAnsi="宋体" w:eastAsia="宋体"/>
          <w:color w:val="auto"/>
          <w:sz w:val="21"/>
          <w:szCs w:val="21"/>
          <w:highlight w:val="none"/>
        </w:rPr>
        <w:t>②资格证明文件有效期过期的；③《营业执照》复印件（加盖公章）或《事业单位法人证书》复印件（加盖公章）或其他主体证书复印件（加盖公章）未提供或有效期过期的</w:t>
      </w:r>
      <w:r>
        <w:rPr>
          <w:rFonts w:hint="eastAsia" w:ascii="宋体" w:hAnsi="宋体" w:eastAsia="宋体"/>
          <w:color w:val="auto"/>
          <w:sz w:val="21"/>
          <w:szCs w:val="21"/>
          <w:highlight w:val="none"/>
          <w:lang w:eastAsia="zh-CN"/>
        </w:rPr>
        <w:t>；④提供的资质材料模糊不清导致无法辨认的。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2) 投标保证金瑕疵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包括但不限于：①投标人未按招标文件要求提交投标保证金；②提交方式、提交时间、提交金额不符合招标文件要求；③投标保证金有效期不符合招标文件要求。</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评标委员会将对符合资格的投标人的投标文件进行符合性审查，以确定其是否满足招标文件的实质性要求。投标人不得通过修正或撤消不合要求的偏离或保留从而使其投标成为实质上响应的投标。</w:t>
      </w:r>
      <w:r>
        <w:rPr>
          <w:rFonts w:hint="eastAsia" w:ascii="宋体" w:hAnsi="宋体" w:eastAsia="宋体"/>
          <w:color w:val="auto"/>
          <w:sz w:val="21"/>
          <w:szCs w:val="21"/>
          <w:highlight w:val="none"/>
          <w:lang w:eastAsia="zh-CN"/>
        </w:rPr>
        <w:t>符合性审查过程</w:t>
      </w:r>
      <w:r>
        <w:rPr>
          <w:rFonts w:hint="eastAsia" w:ascii="宋体" w:hAnsi="宋体" w:eastAsia="宋体"/>
          <w:color w:val="auto"/>
          <w:sz w:val="21"/>
          <w:szCs w:val="21"/>
          <w:highlight w:val="none"/>
        </w:rPr>
        <w:t>中，</w:t>
      </w:r>
      <w:r>
        <w:rPr>
          <w:rFonts w:hint="eastAsia" w:ascii="宋体" w:hAnsi="宋体" w:eastAsia="宋体"/>
          <w:b/>
          <w:color w:val="auto"/>
          <w:sz w:val="21"/>
          <w:szCs w:val="21"/>
          <w:highlight w:val="none"/>
        </w:rPr>
        <w:t>发现下列情况之一的，其投标将作废标处理</w:t>
      </w:r>
      <w:r>
        <w:rPr>
          <w:rFonts w:hint="eastAsia" w:ascii="宋体" w:hAnsi="宋体" w:eastAsia="宋体"/>
          <w:color w:val="auto"/>
          <w:sz w:val="21"/>
          <w:szCs w:val="21"/>
          <w:highlight w:val="none"/>
        </w:rPr>
        <w:t>：</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1) 投标文件的有效性、完整性瑕疵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包括但不限于：①投标文件的数量、制作不符合要求</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投标文件内容与采购内容不符的</w:t>
      </w:r>
      <w:r>
        <w:rPr>
          <w:rFonts w:hint="eastAsia" w:ascii="宋体" w:hAnsi="宋体" w:eastAsia="宋体"/>
          <w:color w:val="auto"/>
          <w:sz w:val="21"/>
          <w:szCs w:val="21"/>
          <w:highlight w:val="none"/>
          <w:lang w:eastAsia="zh-CN"/>
        </w:rPr>
        <w:t>（包括但不限于</w:t>
      </w:r>
      <w:r>
        <w:rPr>
          <w:rFonts w:hint="eastAsia" w:ascii="宋体" w:hAnsi="宋体" w:eastAsia="宋体"/>
          <w:color w:val="auto"/>
          <w:sz w:val="21"/>
          <w:szCs w:val="21"/>
          <w:highlight w:val="none"/>
        </w:rPr>
        <w:t>投标文件项目采购项目编号错误，投标文件项目名称错误导致无法分表所投项目为本项目的</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；②投标文件中要求签字的内容无法定代表人或其授权代表签字，或签字人无法定代表人有效授权的；③签字盖章不符合招标文件要求的；④投标文件内容有严重缺漏项的；</w:t>
      </w:r>
      <w:r>
        <w:rPr>
          <w:rFonts w:hint="eastAsia" w:ascii="宋体" w:hAnsi="宋体" w:eastAsia="宋体"/>
          <w:color w:val="auto"/>
          <w:sz w:val="21"/>
          <w:szCs w:val="21"/>
          <w:highlight w:val="none"/>
          <w:lang w:eastAsia="zh-CN"/>
        </w:rPr>
        <w:t>⑤</w:t>
      </w:r>
      <w:r>
        <w:rPr>
          <w:rFonts w:hint="eastAsia" w:ascii="宋体" w:hAnsi="宋体" w:eastAsia="宋体"/>
          <w:color w:val="auto"/>
          <w:sz w:val="21"/>
          <w:szCs w:val="21"/>
          <w:highlight w:val="none"/>
        </w:rPr>
        <w:t>投标文件的关键内容字迹模糊、无法辨认的；</w:t>
      </w:r>
      <w:r>
        <w:rPr>
          <w:rFonts w:hint="eastAsia" w:ascii="宋体" w:hAnsi="宋体" w:eastAsia="宋体"/>
          <w:color w:val="auto"/>
          <w:sz w:val="21"/>
          <w:szCs w:val="21"/>
          <w:highlight w:val="none"/>
          <w:lang w:eastAsia="zh-CN"/>
        </w:rPr>
        <w:t>⑥</w:t>
      </w:r>
      <w:r>
        <w:rPr>
          <w:rFonts w:hint="eastAsia" w:ascii="宋体" w:hAnsi="宋体" w:eastAsia="宋体"/>
          <w:color w:val="auto"/>
          <w:sz w:val="21"/>
          <w:szCs w:val="21"/>
          <w:highlight w:val="none"/>
        </w:rPr>
        <w:t>投标有效期不符合文件要求的。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2) 技术响应瑕疵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投标文件不满足招标文件中加注星号（★）的主要参数要求或加注星号的主要参数无技术资料支持的；②一般参数超出允许偏离的最大范围或最高项数的；③投标文件技术响应与事实不符或虚假投标的；④《技术规格偏离表》未提供的；⑤将一个包中的内容拆开投标的；⑥投标人对同一货物或服务投标时，</w:t>
      </w:r>
      <w:r>
        <w:rPr>
          <w:rFonts w:hint="eastAsia" w:ascii="宋体" w:hAnsi="宋体" w:eastAsia="宋体"/>
          <w:color w:val="auto"/>
          <w:sz w:val="21"/>
          <w:szCs w:val="21"/>
          <w:highlight w:val="none"/>
          <w:lang w:eastAsia="zh-CN"/>
        </w:rPr>
        <w:t>投标方案不唯一</w:t>
      </w:r>
      <w:r>
        <w:rPr>
          <w:rFonts w:hint="eastAsia" w:ascii="宋体" w:hAnsi="宋体" w:eastAsia="宋体"/>
          <w:color w:val="auto"/>
          <w:sz w:val="21"/>
          <w:szCs w:val="21"/>
          <w:highlight w:val="none"/>
        </w:rPr>
        <w:t>；⑦明显不符合技术规格、技术标准要求的；⑧其他未实质性响应招标文件技术要求的。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3) 商务响应瑕疵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招标文件加注星号（★）的商务要求负偏离的；②招标项目完成期（包括但不限于：工期，服务期，交货期等）未满足招标文件要求的；③投标文件载明的货物包装方式、检验标准和方法不符合招标文件要求的；④《商务条款偏离表》未提供的；</w:t>
      </w:r>
      <w:r>
        <w:rPr>
          <w:rFonts w:hint="eastAsia" w:ascii="宋体" w:hAnsi="宋体" w:eastAsia="宋体"/>
          <w:color w:val="auto"/>
          <w:sz w:val="21"/>
          <w:szCs w:val="21"/>
          <w:highlight w:val="none"/>
          <w:lang w:eastAsia="zh-CN"/>
        </w:rPr>
        <w:t>⑤</w:t>
      </w:r>
      <w:r>
        <w:rPr>
          <w:rFonts w:hint="eastAsia" w:ascii="宋体" w:hAnsi="宋体" w:eastAsia="宋体"/>
          <w:color w:val="auto"/>
          <w:sz w:val="21"/>
          <w:szCs w:val="21"/>
          <w:highlight w:val="none"/>
        </w:rPr>
        <w:t>投标文件附有采购人不能接受的条件的；</w:t>
      </w:r>
      <w:r>
        <w:rPr>
          <w:rFonts w:hint="eastAsia" w:ascii="宋体" w:hAnsi="宋体" w:eastAsia="宋体"/>
          <w:color w:val="auto"/>
          <w:sz w:val="21"/>
          <w:szCs w:val="21"/>
          <w:highlight w:val="none"/>
          <w:lang w:eastAsia="zh-CN"/>
        </w:rPr>
        <w:t>⑥</w:t>
      </w:r>
      <w:r>
        <w:rPr>
          <w:rFonts w:hint="eastAsia" w:ascii="宋体" w:hAnsi="宋体" w:eastAsia="宋体"/>
          <w:color w:val="auto"/>
          <w:sz w:val="21"/>
          <w:szCs w:val="21"/>
          <w:highlight w:val="none"/>
        </w:rPr>
        <w:t>其他未实质性响应招标文件商务要求的。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4）投标报价瑕疵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包括但不限于：</w:t>
      </w:r>
      <w:r>
        <w:rPr>
          <w:rFonts w:hint="eastAsia" w:ascii="宋体" w:hAnsi="宋体" w:eastAsia="宋体"/>
          <w:color w:val="auto"/>
          <w:sz w:val="21"/>
          <w:szCs w:val="21"/>
          <w:highlight w:val="none"/>
        </w:rPr>
        <w:t>①投标报价超过本招标文件明确的项目预算或文件明确的最高限价；②</w:t>
      </w:r>
      <w:r>
        <w:rPr>
          <w:rFonts w:hint="eastAsia" w:ascii="宋体" w:hAnsi="宋体" w:eastAsia="宋体"/>
          <w:color w:val="auto"/>
          <w:sz w:val="21"/>
          <w:szCs w:val="21"/>
          <w:highlight w:val="none"/>
          <w:lang w:eastAsia="zh-CN"/>
        </w:rPr>
        <w:t>未按招标文件要求进行报价的</w:t>
      </w:r>
      <w:r>
        <w:rPr>
          <w:rFonts w:hint="eastAsia" w:ascii="宋体" w:hAnsi="宋体" w:eastAsia="宋体"/>
          <w:color w:val="auto"/>
          <w:sz w:val="21"/>
          <w:szCs w:val="21"/>
          <w:highlight w:val="none"/>
        </w:rPr>
        <w:t>；③</w:t>
      </w:r>
      <w:r>
        <w:rPr>
          <w:rFonts w:hint="eastAsia" w:ascii="宋体" w:hAnsi="宋体" w:eastAsia="宋体"/>
          <w:color w:val="auto"/>
          <w:sz w:val="21"/>
          <w:szCs w:val="21"/>
          <w:highlight w:val="none"/>
          <w:lang w:eastAsia="zh-CN"/>
        </w:rPr>
        <w:t>报价内容或报价格式不符合招标文件要求的；④投标报价有严重缺漏项的。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5）违规行为</w:t>
      </w:r>
    </w:p>
    <w:p>
      <w:pPr>
        <w:widowControl w:val="0"/>
        <w:tabs>
          <w:tab w:val="left" w:pos="907"/>
        </w:tabs>
        <w:adjustRightInd/>
        <w:snapToGrid/>
        <w:spacing w:after="0" w:line="360" w:lineRule="exact"/>
        <w:ind w:left="567"/>
        <w:jc w:val="both"/>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包括但不限于：①以他人的名义投标、串通投标、以行贿手段谋取中标或者以其他弄虚作假方式投标的；②扰乱开标、评标秩序，干扰招标工作正常进行的。</w:t>
      </w:r>
      <w:r>
        <w:rPr>
          <w:rFonts w:hint="eastAsia" w:ascii="宋体" w:hAnsi="宋体" w:eastAsia="宋体"/>
          <w:color w:val="auto"/>
          <w:sz w:val="21"/>
          <w:szCs w:val="21"/>
          <w:highlight w:val="none"/>
          <w:lang w:eastAsia="zh-CN"/>
        </w:rPr>
        <w:t>③存在经评标委员会认定的其他违规违法行为。</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6)法律法规及招标文件中规定的其它情形。</w:t>
      </w:r>
    </w:p>
    <w:p>
      <w:pPr>
        <w:widowControl w:val="0"/>
        <w:tabs>
          <w:tab w:val="left" w:pos="907"/>
        </w:tabs>
        <w:adjustRightInd/>
        <w:snapToGrid/>
        <w:spacing w:after="0" w:line="360" w:lineRule="exact"/>
        <w:ind w:left="567"/>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根据项目情况，评标委员会有权决定招标文件中“可能导致废标”或“可能导致其投标被拒绝”等具体条款是否实施“废标”或“投标被拒绝”，但对同一条款的裁决应适用于每个投标人。</w:t>
      </w:r>
    </w:p>
    <w:p>
      <w:pPr>
        <w:widowControl w:val="0"/>
        <w:numPr>
          <w:ilvl w:val="1"/>
          <w:numId w:val="5"/>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对于投标文件中不构成实质性偏差的不正规、不一致或不规则，评标委员会可以接受，但这种接受不能损害或影响任何投标人的相对排序。</w:t>
      </w:r>
    </w:p>
    <w:p>
      <w:pPr>
        <w:widowControl w:val="0"/>
        <w:numPr>
          <w:ilvl w:val="1"/>
          <w:numId w:val="5"/>
        </w:numPr>
        <w:adjustRightInd/>
        <w:snapToGrid/>
        <w:spacing w:after="0" w:line="360" w:lineRule="exact"/>
        <w:jc w:val="both"/>
        <w:rPr>
          <w:color w:val="auto"/>
          <w:highlight w:val="none"/>
        </w:rPr>
      </w:pPr>
      <w:r>
        <w:rPr>
          <w:rFonts w:hint="eastAsia" w:ascii="宋体" w:hAnsi="宋体" w:eastAsia="宋体"/>
          <w:color w:val="auto"/>
          <w:sz w:val="21"/>
          <w:szCs w:val="21"/>
          <w:highlight w:val="none"/>
        </w:rPr>
        <w:t>在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70" w:name="_Toc21742"/>
      <w:r>
        <w:rPr>
          <w:rFonts w:hint="eastAsia" w:ascii="宋体" w:hAnsi="宋体" w:eastAsia="宋体"/>
          <w:color w:val="auto"/>
          <w:sz w:val="21"/>
          <w:szCs w:val="21"/>
          <w:highlight w:val="none"/>
        </w:rPr>
        <w:t>26.商务、技术、价格评审（具体评审项目详见投标资料表）</w:t>
      </w:r>
      <w:bookmarkEnd w:id="70"/>
    </w:p>
    <w:p>
      <w:pPr>
        <w:pStyle w:val="24"/>
        <w:widowControl w:val="0"/>
        <w:numPr>
          <w:ilvl w:val="0"/>
          <w:numId w:val="5"/>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对通过符合性检查的投标人进行商务技术综合评议，针对投标文件对招标文件的响应情况对各个投标人进行商务和技术评分</w:t>
      </w:r>
      <w:r>
        <w:rPr>
          <w:rFonts w:hint="eastAsia" w:ascii="宋体" w:hAnsi="宋体" w:eastAsia="宋体"/>
          <w:color w:val="auto"/>
          <w:sz w:val="21"/>
          <w:szCs w:val="21"/>
          <w:highlight w:val="none"/>
        </w:rPr>
        <w:t xml:space="preserve">。 </w:t>
      </w:r>
    </w:p>
    <w:p>
      <w:pPr>
        <w:widowControl w:val="0"/>
        <w:numPr>
          <w:ilvl w:val="1"/>
          <w:numId w:val="5"/>
        </w:numPr>
        <w:tabs>
          <w:tab w:val="left" w:pos="907"/>
        </w:tabs>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5"/>
        </w:numPr>
        <w:tabs>
          <w:tab w:val="left" w:pos="907"/>
        </w:tabs>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投标文件报价出现前后不一致的，评标委员会按照下列规定修正：</w:t>
      </w:r>
    </w:p>
    <w:p>
      <w:pPr>
        <w:widowControl w:val="0"/>
        <w:numPr>
          <w:ilvl w:val="1"/>
          <w:numId w:val="5"/>
        </w:numPr>
        <w:tabs>
          <w:tab w:val="left" w:pos="907"/>
        </w:tabs>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投标文件中开标一览表（报价表）内容与投标文件中相应内容不一致的，以开标一览表（报价表）为准；</w:t>
      </w:r>
    </w:p>
    <w:p>
      <w:pPr>
        <w:widowControl w:val="0"/>
        <w:numPr>
          <w:ilvl w:val="1"/>
          <w:numId w:val="5"/>
        </w:numPr>
        <w:tabs>
          <w:tab w:val="left" w:pos="907"/>
        </w:tabs>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大写金额和小写金额不一致的，以大写金额为准；</w:t>
      </w:r>
    </w:p>
    <w:p>
      <w:pPr>
        <w:widowControl w:val="0"/>
        <w:numPr>
          <w:ilvl w:val="1"/>
          <w:numId w:val="5"/>
        </w:numPr>
        <w:tabs>
          <w:tab w:val="left" w:pos="907"/>
        </w:tabs>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单价金额小数点或者百分比有明显错位的，以开标一览表的总价为准，并修改单价；</w:t>
      </w:r>
    </w:p>
    <w:p>
      <w:pPr>
        <w:widowControl w:val="0"/>
        <w:numPr>
          <w:ilvl w:val="1"/>
          <w:numId w:val="5"/>
        </w:numPr>
        <w:tabs>
          <w:tab w:val="left" w:pos="907"/>
        </w:tabs>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总价金额与按单价汇总金额不一致的，以单价金额计算结果为准。</w:t>
      </w:r>
    </w:p>
    <w:p>
      <w:pPr>
        <w:widowControl w:val="0"/>
        <w:numPr>
          <w:ilvl w:val="1"/>
          <w:numId w:val="5"/>
        </w:numPr>
        <w:tabs>
          <w:tab w:val="left" w:pos="907"/>
        </w:tabs>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同时出现两种以上不一致的，按照前款规定的顺序修正。修正后的报价按照经投标人确认后产生约束力，投标人不确认的，其投标无效。</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对通过符合性审查的投标文件进行详细评审。评标委员会对每一投标文件进行详细的商务评审、技术评审。按照评审程序的规定和依据评分标准，各位评委就每个投标人的技术、商务状况及其对招标文件要求的响应情况进行评议和比较，评出其技术评分和商务评分。根据招标文件规定评出得分，将价格得分、商务得分、技术得分相加得出最终评标得分。</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使用综合评分法的采购项目，</w:t>
      </w:r>
      <w:r>
        <w:rPr>
          <w:rFonts w:hint="eastAsia" w:ascii="宋体" w:hAnsi="宋体" w:eastAsia="宋体"/>
          <w:color w:val="auto"/>
          <w:sz w:val="21"/>
          <w:szCs w:val="21"/>
          <w:highlight w:val="none"/>
          <w:lang w:eastAsia="zh-CN"/>
        </w:rPr>
        <w:t>核心产品</w:t>
      </w:r>
      <w:r>
        <w:rPr>
          <w:rFonts w:hint="eastAsia" w:ascii="宋体" w:hAnsi="宋体" w:eastAsia="宋体"/>
          <w:color w:val="auto"/>
          <w:sz w:val="21"/>
          <w:szCs w:val="21"/>
          <w:highlight w:val="none"/>
        </w:rPr>
        <w:t>提供相同品牌产品且通过资格审查、符合性审查的不同投标人参加同一合同项下投标的，按一家投标人计算，评审后得分最高的同品牌投标人获得中标人推荐资格</w:t>
      </w:r>
      <w:r>
        <w:rPr>
          <w:rFonts w:hint="eastAsia" w:ascii="宋体" w:hAnsi="宋体" w:eastAsia="宋体"/>
          <w:color w:val="auto"/>
          <w:sz w:val="21"/>
          <w:szCs w:val="21"/>
          <w:highlight w:val="none"/>
          <w:lang w:eastAsia="zh-CN"/>
        </w:rPr>
        <w:t>。</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核心产品</w:t>
      </w:r>
      <w:r>
        <w:rPr>
          <w:rFonts w:hint="eastAsia" w:ascii="宋体" w:hAnsi="宋体" w:eastAsia="宋体"/>
          <w:color w:val="auto"/>
          <w:sz w:val="21"/>
          <w:szCs w:val="21"/>
          <w:highlight w:val="none"/>
        </w:rPr>
        <w:t>提供相同品牌产品且通过资格审查、符合性审查的不同投标人参加同一合同项下投标</w:t>
      </w:r>
      <w:r>
        <w:rPr>
          <w:rFonts w:hint="eastAsia" w:ascii="宋体" w:hAnsi="宋体" w:eastAsia="宋体"/>
          <w:color w:val="auto"/>
          <w:sz w:val="21"/>
          <w:szCs w:val="21"/>
          <w:highlight w:val="none"/>
          <w:lang w:eastAsia="zh-CN"/>
        </w:rPr>
        <w:t>且</w:t>
      </w:r>
      <w:r>
        <w:rPr>
          <w:rFonts w:hint="eastAsia" w:ascii="宋体" w:hAnsi="宋体" w:eastAsia="宋体"/>
          <w:color w:val="auto"/>
          <w:sz w:val="21"/>
          <w:szCs w:val="21"/>
          <w:highlight w:val="none"/>
        </w:rPr>
        <w:t>评审得分相同的，按照评审因素的</w:t>
      </w:r>
      <w:r>
        <w:rPr>
          <w:rFonts w:hint="eastAsia" w:ascii="宋体" w:hAnsi="宋体" w:eastAsia="宋体"/>
          <w:color w:val="auto"/>
          <w:sz w:val="21"/>
          <w:szCs w:val="21"/>
          <w:highlight w:val="none"/>
          <w:lang w:eastAsia="zh-CN"/>
        </w:rPr>
        <w:t>技术</w:t>
      </w:r>
      <w:r>
        <w:rPr>
          <w:rFonts w:hint="eastAsia" w:ascii="宋体" w:hAnsi="宋体" w:eastAsia="宋体"/>
          <w:color w:val="auto"/>
          <w:sz w:val="21"/>
          <w:szCs w:val="21"/>
          <w:highlight w:val="none"/>
        </w:rPr>
        <w:t>评审得分最高的投标人为排名第一的中标候选人，其他同品牌投标人不作为中标候选人。</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71" w:name="_Toc22192"/>
      <w:r>
        <w:rPr>
          <w:rFonts w:hint="eastAsia" w:ascii="宋体" w:hAnsi="宋体" w:eastAsia="宋体"/>
          <w:color w:val="auto"/>
          <w:sz w:val="21"/>
          <w:szCs w:val="21"/>
          <w:highlight w:val="none"/>
        </w:rPr>
        <w:t>27.优惠政策</w:t>
      </w:r>
      <w:bookmarkEnd w:id="71"/>
    </w:p>
    <w:p>
      <w:pPr>
        <w:pStyle w:val="24"/>
        <w:widowControl w:val="0"/>
        <w:numPr>
          <w:ilvl w:val="0"/>
          <w:numId w:val="5"/>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对小型或微型企业、监狱企业、残疾人福利性单位投标的扶持：</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根据财政部、工业和信息化部制定了《政府采购促进中小企业发展暂行办法》的规定，对小型或微型企业产品的价格给予一定比例扣除，用扣除后的价格参与评审。（参加政府采购活动的中小企业应按照招标文件中投标文件格式提出《中小企业声明函》）残疾人福利性单位、监狱企业（注：参加政府采购活动的监狱企业必须提供由省级以上监狱管理局、戒毒管理局(含新疆生产建设兵团)出具的监狱企业证明文件）视同小型、微型企业。</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投标人为小型或微型企业且投标产品含小型或微型企业产品时，其对应产品价格的扣除详见投标资料表。</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投标人同时为小型、微型企业、监狱企业、残疾人福利性单位任两种或以上情况的，评审中只享受一次价格扣除，不重复进行价格扣除。</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一定的价格扣除（详见投标资料表）。</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符合享受政府采购支持政策的残疾人福利性单位划分标准（根据财政部 民政部 中国残疾人联合会关于促进残疾人就业政府采购政策的通知(财库[2017]141号)）：</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（1）安置的残疾人占本单位在职职工人数的比例不低于25%（含25%），并且安置的残疾人人数不少于10人（含10人）；</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（2）依法与安置的每位残疾人签订了一年以上（含一年）的劳动合同或服务协议；</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（3）为安置的每位残疾人按月足额缴纳了基本养老保险、基本医疗保险、失业保险、工伤保险和生育保险等社会保险费；</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（4）通过银行等金融机构向安置的每位残疾人，按月支付了不低于单位所在区县适用的经省级人民政府批准的月最低工资标准的工资；</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（5）提供本单位制造的货物、承担的工程或者服务（以下简称产品），或者提供其他残疾人福利性单位制造的货物（不包括使用非残疾人福利性单位注册商标的货物）。</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对节能产品或环境标志产品的扶持：</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根据《关于调整优化节能产品、环境标志产品政府采购执行机制的通知》（财库〔2019〕9号）及《转发财政部 发展改革委 生态环境部 市场监管总局关于调整优化节能产品 环境标志产品政府采购执行机制的通知》（粤财采购函〔2019〕1号）的规定，对提供节能产品或环境标志产品的投标单位的价格给予一定比例扣除（扣除比例详见投标资料表）。</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提供节能产品或环境标志产品的投标人其产品应符合以下规定：</w:t>
      </w:r>
    </w:p>
    <w:p>
      <w:pPr>
        <w:widowControl w:val="0"/>
        <w:numPr>
          <w:ilvl w:val="0"/>
          <w:numId w:val="8"/>
        </w:numPr>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所投产品属于《节能产品政府采购品目清单》或《环境标志产品政府采购品目清单》的，投标人应如实填写《节能产品或环境标志产品列价表》并提供在有效期内的“节能产品认证证书”或“环境标志产品认证证书”。</w:t>
      </w:r>
    </w:p>
    <w:p>
      <w:pPr>
        <w:widowControl w:val="0"/>
        <w:numPr>
          <w:ilvl w:val="0"/>
          <w:numId w:val="8"/>
        </w:numPr>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所投节能产品或环境标志产品其认证证书的认证机构应属于《市场监管总局关于发布参与实施政府采购节能产品、环境标志产品认证机构名录的公告（2019年第16号）》公告中所公示的认证机构，若投标人所提供的产品认证证书其认证机构不属于以上公示中的机构，则视为无效认证，不给予价格扣除优惠。</w:t>
      </w:r>
    </w:p>
    <w:p>
      <w:pPr>
        <w:widowControl w:val="0"/>
        <w:numPr>
          <w:ilvl w:val="0"/>
          <w:numId w:val="8"/>
        </w:numPr>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若用户需求中含有《节能产品政府采购品目清单》中的政府强制采购产品，投标人应根据要求提供所对应的节能产品，否则做投标无效处理。</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72" w:name="_Toc316375620"/>
      <w:bookmarkStart w:id="73" w:name="_Toc20328"/>
      <w:bookmarkStart w:id="74" w:name="_Toc382049120"/>
      <w:bookmarkStart w:id="75" w:name="_Toc22591"/>
      <w:r>
        <w:rPr>
          <w:rFonts w:hint="eastAsia" w:ascii="宋体" w:hAnsi="宋体" w:eastAsia="宋体"/>
          <w:color w:val="auto"/>
          <w:sz w:val="21"/>
          <w:szCs w:val="21"/>
          <w:highlight w:val="none"/>
        </w:rPr>
        <w:t>28.纪律和</w:t>
      </w:r>
      <w:r>
        <w:rPr>
          <w:rFonts w:ascii="宋体" w:hAnsi="宋体" w:eastAsia="宋体"/>
          <w:color w:val="auto"/>
          <w:sz w:val="21"/>
          <w:szCs w:val="21"/>
          <w:highlight w:val="none"/>
        </w:rPr>
        <w:t>保密</w:t>
      </w:r>
      <w:bookmarkEnd w:id="72"/>
      <w:r>
        <w:rPr>
          <w:rFonts w:hint="eastAsia" w:ascii="宋体" w:hAnsi="宋体" w:eastAsia="宋体"/>
          <w:color w:val="auto"/>
          <w:sz w:val="21"/>
          <w:szCs w:val="21"/>
          <w:highlight w:val="none"/>
        </w:rPr>
        <w:t>事项</w:t>
      </w:r>
      <w:bookmarkEnd w:id="73"/>
      <w:bookmarkEnd w:id="74"/>
      <w:bookmarkEnd w:id="75"/>
    </w:p>
    <w:p>
      <w:pPr>
        <w:pStyle w:val="24"/>
        <w:widowControl w:val="0"/>
        <w:numPr>
          <w:ilvl w:val="0"/>
          <w:numId w:val="5"/>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投标人不得串通作弊，以不正当的手段妨碍、排挤其他投标人，扰乱招标市场，破坏公平竞争原则。否则将按相关法律规定严肃处理。</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获得本招标文件的投标人，应对文件进行保密，不得用作本次投标以外的任何用途。开标后，投标人应归还招标文件中要求保密的文件和资料。</w:t>
      </w:r>
    </w:p>
    <w:p>
      <w:pPr>
        <w:rPr>
          <w:color w:val="auto"/>
          <w:highlight w:val="none"/>
        </w:rPr>
      </w:pPr>
    </w:p>
    <w:p>
      <w:pPr>
        <w:pStyle w:val="4"/>
        <w:numPr>
          <w:ilvl w:val="0"/>
          <w:numId w:val="4"/>
        </w:numPr>
        <w:spacing w:before="0" w:after="0" w:line="480" w:lineRule="auto"/>
        <w:jc w:val="center"/>
        <w:rPr>
          <w:rFonts w:ascii="宋体" w:hAnsi="宋体" w:eastAsia="宋体"/>
          <w:color w:val="auto"/>
          <w:highlight w:val="none"/>
        </w:rPr>
      </w:pPr>
      <w:bookmarkStart w:id="76" w:name="_Toc29310"/>
      <w:r>
        <w:rPr>
          <w:rFonts w:hint="eastAsia" w:ascii="宋体" w:hAnsi="宋体" w:eastAsia="宋体"/>
          <w:color w:val="auto"/>
          <w:highlight w:val="none"/>
        </w:rPr>
        <w:t>授予合同</w:t>
      </w:r>
      <w:bookmarkEnd w:id="76"/>
    </w:p>
    <w:p>
      <w:pPr>
        <w:pStyle w:val="5"/>
        <w:widowControl w:val="0"/>
        <w:overflowPunct w:val="0"/>
        <w:spacing w:before="0" w:after="0" w:line="240" w:lineRule="auto"/>
        <w:rPr>
          <w:rFonts w:ascii="宋体" w:hAnsi="宋体" w:eastAsia="宋体"/>
          <w:color w:val="auto"/>
          <w:sz w:val="21"/>
          <w:szCs w:val="21"/>
          <w:highlight w:val="none"/>
        </w:rPr>
      </w:pPr>
      <w:bookmarkStart w:id="77" w:name="_Toc508284011"/>
      <w:bookmarkStart w:id="78" w:name="_Toc27817"/>
      <w:r>
        <w:rPr>
          <w:rFonts w:hint="eastAsia" w:ascii="宋体" w:hAnsi="宋体" w:eastAsia="宋体"/>
          <w:color w:val="auto"/>
          <w:sz w:val="21"/>
          <w:szCs w:val="21"/>
          <w:highlight w:val="none"/>
        </w:rPr>
        <w:t>29.</w:t>
      </w:r>
      <w:r>
        <w:rPr>
          <w:rFonts w:ascii="宋体" w:hAnsi="宋体" w:eastAsia="宋体"/>
          <w:color w:val="auto"/>
          <w:sz w:val="21"/>
          <w:szCs w:val="21"/>
          <w:highlight w:val="none"/>
        </w:rPr>
        <w:t>合同授予标准</w:t>
      </w:r>
      <w:bookmarkEnd w:id="77"/>
      <w:bookmarkEnd w:id="78"/>
    </w:p>
    <w:p>
      <w:pPr>
        <w:pStyle w:val="24"/>
        <w:widowControl w:val="0"/>
        <w:numPr>
          <w:ilvl w:val="0"/>
          <w:numId w:val="5"/>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根据评标委员会的评审结果，采购人按照评审报告推荐的中标候选人中按顺序依法确定中标人</w:t>
      </w:r>
      <w:r>
        <w:rPr>
          <w:rFonts w:ascii="宋体" w:hAnsi="宋体" w:eastAsia="宋体"/>
          <w:color w:val="auto"/>
          <w:sz w:val="21"/>
          <w:szCs w:val="21"/>
          <w:highlight w:val="none"/>
        </w:rPr>
        <w:t>。</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79" w:name="_Toc29283"/>
      <w:bookmarkStart w:id="80" w:name="_Toc508284013"/>
      <w:r>
        <w:rPr>
          <w:rFonts w:hint="eastAsia" w:ascii="宋体" w:hAnsi="宋体" w:eastAsia="宋体"/>
          <w:color w:val="auto"/>
          <w:sz w:val="21"/>
          <w:szCs w:val="21"/>
          <w:highlight w:val="none"/>
        </w:rPr>
        <w:t>30.发布采购结果</w:t>
      </w:r>
      <w:bookmarkEnd w:id="79"/>
      <w:bookmarkEnd w:id="80"/>
    </w:p>
    <w:p>
      <w:pPr>
        <w:pStyle w:val="24"/>
        <w:widowControl w:val="0"/>
        <w:numPr>
          <w:ilvl w:val="0"/>
          <w:numId w:val="5"/>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评标委员会提出评标书面报告和推荐中标意见报采购人确认后，采购代理机构将在指定的信息发布媒体上发布公告。</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中标公告期限为1个工作日。</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结果公示发布后，中标单位应及时领取中标通知书。</w:t>
      </w:r>
      <w:r>
        <w:rPr>
          <w:rFonts w:hint="eastAsia" w:ascii="宋体" w:hAnsi="宋体" w:eastAsia="宋体"/>
          <w:color w:val="auto"/>
          <w:sz w:val="21"/>
          <w:szCs w:val="21"/>
          <w:highlight w:val="none"/>
        </w:rPr>
        <w:t>《中标通知书》是合同的一个组成部分，《中标通知书》对采购人和中标人均具有同等法律效力。</w:t>
      </w:r>
    </w:p>
    <w:p>
      <w:pPr>
        <w:widowControl w:val="0"/>
        <w:numPr>
          <w:ilvl w:val="1"/>
          <w:numId w:val="5"/>
        </w:numPr>
        <w:tabs>
          <w:tab w:val="left" w:pos="907"/>
        </w:tabs>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中标人无正当理由不得放弃中标</w:t>
      </w:r>
      <w:r>
        <w:rPr>
          <w:rFonts w:hint="eastAsia" w:ascii="宋体" w:hAnsi="宋体" w:eastAsia="宋体"/>
          <w:color w:val="auto"/>
          <w:sz w:val="21"/>
          <w:szCs w:val="21"/>
          <w:highlight w:val="none"/>
          <w:lang w:eastAsia="zh-CN"/>
        </w:rPr>
        <w:t>，因中标人放弃中标而对采购人造成的损失由放弃中标的中标人承担。</w:t>
      </w:r>
    </w:p>
    <w:p>
      <w:pPr>
        <w:widowControl w:val="0"/>
        <w:numPr>
          <w:ilvl w:val="1"/>
          <w:numId w:val="5"/>
        </w:numPr>
        <w:tabs>
          <w:tab w:val="left" w:pos="907"/>
        </w:tabs>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中标人为残疾人福利性单位的，采购人或者其委托的采购代理机构应当随中标、成交结果同时公告其《残疾人福利性单位声明函》，接受社会监督。</w:t>
      </w:r>
    </w:p>
    <w:p>
      <w:pPr>
        <w:widowControl w:val="0"/>
        <w:numPr>
          <w:ilvl w:val="1"/>
          <w:numId w:val="5"/>
        </w:numPr>
        <w:tabs>
          <w:tab w:val="left" w:pos="907"/>
        </w:tabs>
        <w:adjustRightInd/>
        <w:snapToGrid/>
        <w:spacing w:after="0" w:line="360" w:lineRule="exact"/>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原件核查</w:t>
      </w:r>
    </w:p>
    <w:p>
      <w:pPr>
        <w:widowControl w:val="0"/>
        <w:numPr>
          <w:ilvl w:val="2"/>
          <w:numId w:val="5"/>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采购结果发布后，中标单位应在五个工作日内递交相关资质原件到采购代理机构办公地址或采购人指定地址进行核查。</w:t>
      </w:r>
    </w:p>
    <w:p>
      <w:pPr>
        <w:widowControl w:val="0"/>
        <w:numPr>
          <w:ilvl w:val="2"/>
          <w:numId w:val="5"/>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中标单位有下列情形之一的，取消中标资格：</w:t>
      </w:r>
    </w:p>
    <w:p>
      <w:pPr>
        <w:widowControl w:val="0"/>
        <w:numPr>
          <w:ilvl w:val="0"/>
          <w:numId w:val="9"/>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拒绝采购人或采购代理机构原件核查要求的；</w:t>
      </w:r>
    </w:p>
    <w:p>
      <w:pPr>
        <w:widowControl w:val="0"/>
        <w:numPr>
          <w:ilvl w:val="0"/>
          <w:numId w:val="9"/>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未在规定时间内将原件递交到到采购代理机构办公地址或采购人指定地址进行核查的；</w:t>
      </w:r>
    </w:p>
    <w:p>
      <w:pPr>
        <w:widowControl w:val="0"/>
        <w:numPr>
          <w:ilvl w:val="0"/>
          <w:numId w:val="9"/>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在规定时间内递交的原件数量、内容与采购人、采购代理机构要求不一致的；</w:t>
      </w:r>
    </w:p>
    <w:p>
      <w:pPr>
        <w:widowControl w:val="0"/>
        <w:numPr>
          <w:ilvl w:val="0"/>
          <w:numId w:val="9"/>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val="en-US" w:eastAsia="zh-CN"/>
        </w:rPr>
        <w:t>因原件续期、更改等原因不能按时递交原件且未能在规定时间内提供相应部门开具的变更、续期等证明的；</w:t>
      </w:r>
    </w:p>
    <w:p>
      <w:pPr>
        <w:widowControl w:val="0"/>
        <w:numPr>
          <w:ilvl w:val="0"/>
          <w:numId w:val="9"/>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经查原件，投标文件内容有造假行为的。</w:t>
      </w:r>
    </w:p>
    <w:p>
      <w:pPr>
        <w:widowControl w:val="0"/>
        <w:numPr>
          <w:ilvl w:val="2"/>
          <w:numId w:val="5"/>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采购结果发布后，采购代理机构及采购人有权根据评标委员会的建议或要求，对递交了投标文件的未中标投标人进行原件核查。投标人应在采购代理机构或采购人发出纸质通知五个工作日内将原件递交到采购代理机构办公地址或采购人指定地址进行核查。</w:t>
      </w:r>
    </w:p>
    <w:p>
      <w:pPr>
        <w:widowControl w:val="0"/>
        <w:numPr>
          <w:ilvl w:val="2"/>
          <w:numId w:val="5"/>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投标人有下列情形之一的，投标文件作无效处理，其投标无效：</w:t>
      </w:r>
    </w:p>
    <w:p>
      <w:pPr>
        <w:widowControl w:val="0"/>
        <w:numPr>
          <w:ilvl w:val="0"/>
          <w:numId w:val="10"/>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拒绝采购人或采购代理机构原件核查要求的；</w:t>
      </w:r>
    </w:p>
    <w:p>
      <w:pPr>
        <w:widowControl w:val="0"/>
        <w:numPr>
          <w:ilvl w:val="0"/>
          <w:numId w:val="10"/>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未在规定时间内将原件递交到到采购代理机构办公地址或采购人指定地址进行核查的；</w:t>
      </w:r>
    </w:p>
    <w:p>
      <w:pPr>
        <w:widowControl w:val="0"/>
        <w:numPr>
          <w:ilvl w:val="0"/>
          <w:numId w:val="10"/>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在规定时间内递交的原件数量、内容不符合采购人、采购代理机构要求的；</w:t>
      </w:r>
    </w:p>
    <w:p>
      <w:pPr>
        <w:widowControl w:val="0"/>
        <w:numPr>
          <w:ilvl w:val="0"/>
          <w:numId w:val="10"/>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因原件续期、更改等原因不能按时递交原件且未能在规定时间内提供相应部门开具的变更、续期等证明的；</w:t>
      </w:r>
    </w:p>
    <w:p>
      <w:pPr>
        <w:widowControl w:val="0"/>
        <w:numPr>
          <w:ilvl w:val="0"/>
          <w:numId w:val="10"/>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经查原件，投标文件内容有造假行为的。</w:t>
      </w:r>
    </w:p>
    <w:p>
      <w:pPr>
        <w:widowControl w:val="0"/>
        <w:numPr>
          <w:ilvl w:val="2"/>
          <w:numId w:val="5"/>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若投标人出现虚假应标情况，投标文件作无效处理，其投标、中标无效。并根据相关法律上报相关监管部门。</w:t>
      </w:r>
    </w:p>
    <w:p>
      <w:pPr>
        <w:widowControl w:val="0"/>
        <w:numPr>
          <w:ilvl w:val="2"/>
          <w:numId w:val="5"/>
        </w:numPr>
        <w:tabs>
          <w:tab w:val="left" w:pos="567"/>
          <w:tab w:val="left" w:pos="907"/>
          <w:tab w:val="clear" w:pos="794"/>
        </w:tabs>
        <w:adjustRightInd/>
        <w:snapToGrid/>
        <w:spacing w:after="0" w:line="360" w:lineRule="exact"/>
        <w:ind w:left="794" w:leftChars="0" w:hanging="794" w:firstLineChars="0"/>
        <w:jc w:val="both"/>
        <w:rPr>
          <w:rFonts w:hint="eastAsia"/>
          <w:b w:val="0"/>
          <w:bCs w:val="0"/>
          <w:color w:val="auto"/>
          <w:highlight w:val="none"/>
          <w:lang w:eastAsia="zh-CN"/>
        </w:rPr>
      </w:pPr>
      <w:r>
        <w:rPr>
          <w:rFonts w:hint="eastAsia" w:ascii="宋体" w:hAnsi="宋体" w:eastAsia="宋体"/>
          <w:b w:val="0"/>
          <w:bCs w:val="0"/>
          <w:color w:val="auto"/>
          <w:sz w:val="21"/>
          <w:szCs w:val="21"/>
          <w:highlight w:val="none"/>
          <w:lang w:eastAsia="zh-CN"/>
        </w:rPr>
        <w:t>属于建办市函[2016]462号通知内的证件可不提供原件，仅提供带二维码原件的复印件即可。</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81" w:name="_Toc22451"/>
      <w:r>
        <w:rPr>
          <w:rFonts w:hint="eastAsia" w:ascii="宋体" w:hAnsi="宋体" w:eastAsia="宋体"/>
          <w:color w:val="auto"/>
          <w:sz w:val="21"/>
          <w:szCs w:val="21"/>
          <w:highlight w:val="none"/>
        </w:rPr>
        <w:t>31.合同的签订与履行</w:t>
      </w:r>
      <w:bookmarkEnd w:id="81"/>
    </w:p>
    <w:p>
      <w:pPr>
        <w:pStyle w:val="24"/>
        <w:widowControl w:val="0"/>
        <w:numPr>
          <w:ilvl w:val="0"/>
          <w:numId w:val="5"/>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采购人应当自采购结果公示发出之日起30日内，按照招标文件和中标人投标文件的规定，与中标人签订书面合同。所签订的合同不得对招标文件确定的事项和中标人投标文件作实质性修改。</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采购人与中标人应当根据合同的约定依法履行合同义务。</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政府采购合同的履行、违约责任和解决争议的方法等适用《中华人民共和国合同法》。</w:t>
      </w:r>
    </w:p>
    <w:p>
      <w:pPr>
        <w:widowControl w:val="0"/>
        <w:numPr>
          <w:ilvl w:val="1"/>
          <w:numId w:val="5"/>
        </w:numPr>
        <w:tabs>
          <w:tab w:val="left" w:pos="907"/>
        </w:tabs>
        <w:adjustRightInd/>
        <w:snapToGrid/>
        <w:spacing w:after="0" w:line="360" w:lineRule="exact"/>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合同签订之日起2个工作日内，中标人应将所签订的合同副本（加盖公章）交至广东三方诚信招标有限公司东莞分公司归档。</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投标人根据招标文件的规定和采购项目的实际情况，拟在中标后将中标项目的非主体、非关键性工作分包的，应当在投标文件中载明分包承担主体，分包承担主体应当具备相应资质条件且不得再次分包。</w:t>
      </w:r>
    </w:p>
    <w:p>
      <w:pPr>
        <w:widowControl w:val="0"/>
        <w:numPr>
          <w:ilvl w:val="1"/>
          <w:numId w:val="5"/>
        </w:numPr>
        <w:tabs>
          <w:tab w:val="left" w:pos="907"/>
        </w:tabs>
        <w:adjustRightInd/>
        <w:snapToGrid/>
        <w:spacing w:after="0" w:line="360" w:lineRule="exact"/>
        <w:jc w:val="both"/>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中标投标人在评审结束当天至合同履行结束，若因不可抗力的因素（如国家出台新法律法规等）造</w:t>
      </w:r>
      <w:r>
        <w:rPr>
          <w:rFonts w:hint="eastAsia" w:ascii="宋体" w:hAnsi="宋体" w:eastAsia="宋体"/>
          <w:color w:val="auto"/>
          <w:sz w:val="21"/>
          <w:szCs w:val="21"/>
          <w:highlight w:val="none"/>
          <w:lang w:eastAsia="zh-CN"/>
        </w:rPr>
        <w:t>成投标人资质的变动，投标人应以纸质版形式通知采购人。若资质变动导致中标投标人不再具备履行合同资质要求，采购人有权中止合同。</w:t>
      </w:r>
    </w:p>
    <w:p>
      <w:pPr>
        <w:widowControl w:val="0"/>
        <w:numPr>
          <w:ilvl w:val="1"/>
          <w:numId w:val="5"/>
        </w:numPr>
        <w:tabs>
          <w:tab w:val="left" w:pos="907"/>
        </w:tabs>
        <w:adjustRightInd/>
        <w:snapToGrid/>
        <w:spacing w:after="0" w:line="360" w:lineRule="exact"/>
        <w:jc w:val="both"/>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中标人拒绝与采购人签订合同的，采购人可以按照评审报告推荐的中标候选人名单排序，确定下一候选人为中标人，也可以重新开展政府采购活动。</w:t>
      </w:r>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82" w:name="_Toc2744"/>
      <w:bookmarkStart w:id="83" w:name="_Toc382049124"/>
      <w:bookmarkStart w:id="84" w:name="_Toc29009"/>
      <w:bookmarkStart w:id="85" w:name="_Toc303084277"/>
      <w:r>
        <w:rPr>
          <w:rFonts w:hint="eastAsia" w:ascii="宋体" w:hAnsi="宋体" w:eastAsia="宋体"/>
          <w:color w:val="auto"/>
          <w:sz w:val="21"/>
          <w:szCs w:val="21"/>
          <w:highlight w:val="none"/>
        </w:rPr>
        <w:t>32.</w:t>
      </w:r>
      <w:r>
        <w:rPr>
          <w:rFonts w:ascii="宋体" w:hAnsi="宋体" w:eastAsia="宋体"/>
          <w:color w:val="auto"/>
          <w:sz w:val="21"/>
          <w:szCs w:val="21"/>
          <w:highlight w:val="none"/>
        </w:rPr>
        <w:t>履约</w:t>
      </w:r>
      <w:r>
        <w:rPr>
          <w:rFonts w:hint="eastAsia" w:ascii="宋体" w:hAnsi="宋体" w:eastAsia="宋体"/>
          <w:color w:val="auto"/>
          <w:sz w:val="21"/>
          <w:szCs w:val="21"/>
          <w:highlight w:val="none"/>
        </w:rPr>
        <w:t>保证金</w:t>
      </w:r>
      <w:bookmarkEnd w:id="82"/>
      <w:bookmarkEnd w:id="83"/>
      <w:bookmarkEnd w:id="84"/>
      <w:bookmarkEnd w:id="85"/>
    </w:p>
    <w:p>
      <w:pPr>
        <w:pStyle w:val="24"/>
        <w:widowControl w:val="0"/>
        <w:numPr>
          <w:ilvl w:val="0"/>
          <w:numId w:val="5"/>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应在领取中标通知书之后签订合同之前递交履约保证金（履约保函的提交与履约保证金的提交时间一致）。给采购人造成的损失超过投标担保数额的，还应当由其对超过部分予以赔偿，并依法追究其责任。中标人应在汇入履约保证金时在汇款单备注中注明：中标项目名称及中标项目编号。</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采用保证金（银行转帐、电汇）方式：中标人必须保证资金在签订合同前到帐。履约保证金账户采购人另行通知，到期后无息退还。</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履约保函方式：履约担保。是指由担保机构为供应商交纳履约保证金向采购人或采购代理机构提供的保证担保。供应商未按政府采购合同履行约定义务的，由担保机构按照担保函约定履行支付履约保证金的责任。（投标担保格式详见附件《政府采购投标担保函》）</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中标人须将履约保证金的汇款凭证 (注明中标通知书或项目编号)或履约保函（采购人注明原件已收到并盖章）用A4纸复印一式四份并加盖中标人的公章送至采购代理机构。</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履约保证金退回：履约保证金在项目验收合格后，中标人向采购人提交退回履约保证金的申请（格式可在东莞市政府采购网下载）、履约保证金汇款凭证复印件、采购合同、采购项目验收报告原件、中标通知书复印件，前往采购人办理履约保证金</w:t>
      </w:r>
      <w:r>
        <w:rPr>
          <w:rFonts w:hint="eastAsia" w:ascii="宋体" w:hAnsi="宋体" w:eastAsia="宋体"/>
          <w:color w:val="auto"/>
          <w:sz w:val="21"/>
          <w:szCs w:val="21"/>
          <w:highlight w:val="none"/>
          <w:lang w:val="en-US" w:eastAsia="zh-CN"/>
        </w:rPr>
        <w:t xml:space="preserve"> </w:t>
      </w:r>
      <w:r>
        <w:rPr>
          <w:rFonts w:hint="eastAsia" w:ascii="宋体" w:hAnsi="宋体" w:eastAsia="宋体"/>
          <w:color w:val="auto"/>
          <w:sz w:val="21"/>
          <w:szCs w:val="21"/>
          <w:highlight w:val="none"/>
        </w:rPr>
        <w:t>退还手续。</w:t>
      </w:r>
    </w:p>
    <w:p>
      <w:pPr>
        <w:rPr>
          <w:color w:val="auto"/>
          <w:highlight w:val="none"/>
        </w:rPr>
      </w:pPr>
    </w:p>
    <w:p>
      <w:pPr>
        <w:pStyle w:val="4"/>
        <w:numPr>
          <w:ilvl w:val="0"/>
          <w:numId w:val="4"/>
        </w:numPr>
        <w:spacing w:before="0" w:after="0" w:line="480" w:lineRule="auto"/>
        <w:jc w:val="center"/>
        <w:rPr>
          <w:rFonts w:ascii="宋体" w:hAnsi="宋体" w:eastAsia="宋体"/>
          <w:color w:val="auto"/>
          <w:highlight w:val="none"/>
        </w:rPr>
      </w:pPr>
      <w:bookmarkStart w:id="86" w:name="_Toc13694"/>
      <w:r>
        <w:rPr>
          <w:rFonts w:hint="eastAsia" w:ascii="宋体" w:hAnsi="宋体" w:eastAsia="宋体"/>
          <w:color w:val="auto"/>
          <w:highlight w:val="none"/>
        </w:rPr>
        <w:t>询问或质疑</w:t>
      </w:r>
      <w:bookmarkEnd w:id="86"/>
    </w:p>
    <w:p>
      <w:pPr>
        <w:pStyle w:val="5"/>
        <w:widowControl w:val="0"/>
        <w:overflowPunct w:val="0"/>
        <w:spacing w:before="0" w:after="0" w:line="240" w:lineRule="auto"/>
        <w:rPr>
          <w:rFonts w:ascii="宋体" w:hAnsi="宋体" w:eastAsia="宋体"/>
          <w:color w:val="auto"/>
          <w:sz w:val="21"/>
          <w:szCs w:val="21"/>
          <w:highlight w:val="none"/>
        </w:rPr>
      </w:pPr>
      <w:bookmarkStart w:id="87" w:name="_Toc25498"/>
      <w:r>
        <w:rPr>
          <w:rFonts w:hint="eastAsia" w:ascii="宋体" w:hAnsi="宋体" w:eastAsia="宋体"/>
          <w:color w:val="auto"/>
          <w:sz w:val="21"/>
          <w:szCs w:val="21"/>
          <w:highlight w:val="none"/>
        </w:rPr>
        <w:t>33.询问</w:t>
      </w:r>
      <w:bookmarkEnd w:id="87"/>
    </w:p>
    <w:p>
      <w:pPr>
        <w:pStyle w:val="24"/>
        <w:widowControl w:val="0"/>
        <w:numPr>
          <w:ilvl w:val="0"/>
          <w:numId w:val="5"/>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投标人对政府采购活动事项（招标文件、采购过程和采购结果）有疑问的，可以按规定向采购代理机构提出询问。</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88" w:name="_Toc8234"/>
      <w:r>
        <w:rPr>
          <w:rFonts w:hint="eastAsia" w:ascii="宋体" w:hAnsi="宋体" w:eastAsia="宋体"/>
          <w:color w:val="auto"/>
          <w:sz w:val="21"/>
          <w:szCs w:val="21"/>
          <w:highlight w:val="none"/>
        </w:rPr>
        <w:t>34.质疑</w:t>
      </w:r>
      <w:bookmarkEnd w:id="88"/>
    </w:p>
    <w:p>
      <w:pPr>
        <w:pStyle w:val="24"/>
        <w:widowControl w:val="0"/>
        <w:numPr>
          <w:ilvl w:val="0"/>
          <w:numId w:val="5"/>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提出质疑的投标人应当是参与所质疑项目采购活动的供应商或是在规定的时间内已依法获取其可质疑的招标文件的潜在供应商。</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供应商认为招标文件、采购过程、中标或者成交结果使自己的权益受到损害的，可以在知道或者应知其权益受到损害之日起7个工作日内，以书面形式向采购人、采购代理机构提出质疑。超过规定时间提交的质疑函不予受理。</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投标人在法定质疑期内须一次性提出针对同一采购程序环节的质疑，对同一采购程序环节的二次质疑采购代理机构不予受理。</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将招标文件所规定的纸质版形式（质疑须提交以下资料并加盖投标人公章：质疑函原件、营业执照复印件、法人身份证复印件、联系方式及法人授权委托书原件加盖公章；若质疑由法人提交，则将提供法人授权委托书原件加盖公章更换为提供法人身份证复印件加盖公章且签字）的质疑按法律规定提交至采购代理机构指定办公地点</w:t>
      </w:r>
      <w:r>
        <w:rPr>
          <w:rFonts w:hint="eastAsia" w:ascii="宋体" w:hAnsi="宋体" w:eastAsia="宋体"/>
          <w:color w:val="auto"/>
          <w:sz w:val="21"/>
          <w:szCs w:val="21"/>
          <w:highlight w:val="none"/>
          <w:lang w:eastAsia="zh-CN"/>
        </w:rPr>
        <w:t>（递交地点、联系人详见投标邀请书）</w:t>
      </w:r>
      <w:r>
        <w:rPr>
          <w:rFonts w:hint="eastAsia" w:ascii="宋体" w:hAnsi="宋体" w:eastAsia="宋体"/>
          <w:color w:val="auto"/>
          <w:sz w:val="21"/>
          <w:szCs w:val="21"/>
          <w:highlight w:val="none"/>
        </w:rPr>
        <w:t>。投标人以电话、传真或电邮形式提交的质疑属于无效质疑。</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授权委托书应当载明代理人的姓名或者名称、代理事项、具体权限、期限和相关事项。</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投标人提出质疑应当提交质疑函和必要的证明材料（须注明法律依据），因缺少相关证明材料或证明材料存在不真实而导致的后果由投标人自行承担。</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不涉及对投标人利益造成损害的相关内容，不能作为质疑内容提交。</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投诉人在全国范围12个月内三次以上投诉查无实据的，由财政部门列入不良行为记录名单。</w:t>
      </w:r>
    </w:p>
    <w:p>
      <w:pPr>
        <w:widowControl w:val="0"/>
        <w:numPr>
          <w:ilvl w:val="1"/>
          <w:numId w:val="5"/>
        </w:numPr>
        <w:tabs>
          <w:tab w:val="left" w:pos="907"/>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投诉人有下列行为之一的，属于虚假、恶意投诉，由财政部门列入不良行为记录名单，禁止其1至3年内参加</w:t>
      </w:r>
      <w:r>
        <w:rPr>
          <w:rFonts w:hint="eastAsia" w:ascii="宋体" w:hAnsi="宋体" w:eastAsia="宋体"/>
          <w:b/>
          <w:bCs/>
          <w:color w:val="auto"/>
          <w:sz w:val="21"/>
          <w:szCs w:val="21"/>
          <w:highlight w:val="none"/>
          <w:lang w:eastAsia="zh-CN"/>
        </w:rPr>
        <w:t>全国范围内的</w:t>
      </w:r>
      <w:r>
        <w:rPr>
          <w:rFonts w:hint="eastAsia" w:ascii="宋体" w:hAnsi="宋体" w:eastAsia="宋体"/>
          <w:b/>
          <w:bCs/>
          <w:color w:val="auto"/>
          <w:sz w:val="21"/>
          <w:szCs w:val="21"/>
          <w:highlight w:val="none"/>
        </w:rPr>
        <w:t>政府采购活动：</w:t>
      </w:r>
    </w:p>
    <w:p>
      <w:pPr>
        <w:widowControl w:val="0"/>
        <w:tabs>
          <w:tab w:val="left" w:pos="907"/>
        </w:tabs>
        <w:adjustRightInd/>
        <w:snapToGrid/>
        <w:spacing w:after="0" w:line="360" w:lineRule="exact"/>
        <w:ind w:left="567"/>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（一）捏造事实;</w:t>
      </w:r>
    </w:p>
    <w:p>
      <w:pPr>
        <w:widowControl w:val="0"/>
        <w:tabs>
          <w:tab w:val="left" w:pos="907"/>
        </w:tabs>
        <w:adjustRightInd/>
        <w:snapToGrid/>
        <w:spacing w:after="0" w:line="360" w:lineRule="exact"/>
        <w:ind w:left="567"/>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（二）提供虚假材料;</w:t>
      </w:r>
    </w:p>
    <w:p>
      <w:pPr>
        <w:widowControl w:val="0"/>
        <w:tabs>
          <w:tab w:val="left" w:pos="907"/>
        </w:tabs>
        <w:adjustRightInd/>
        <w:snapToGrid/>
        <w:spacing w:after="0" w:line="360" w:lineRule="exact"/>
        <w:ind w:left="567"/>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（三）以非法手段取得证明材料。证据来源的合法性存在明显疑问，投诉人无法证明其取得方式合法的，视为以非法手段取得证明材料。</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以联合体形式参加政府采购活动的，其质疑应当由组成联合体的所有投标人共同提出。</w:t>
      </w:r>
    </w:p>
    <w:p>
      <w:pPr>
        <w:rPr>
          <w:color w:val="auto"/>
          <w:highlight w:val="none"/>
        </w:rPr>
      </w:pPr>
    </w:p>
    <w:p>
      <w:pPr>
        <w:pStyle w:val="4"/>
        <w:numPr>
          <w:ilvl w:val="0"/>
          <w:numId w:val="4"/>
        </w:numPr>
        <w:spacing w:before="0" w:after="0" w:line="480" w:lineRule="auto"/>
        <w:jc w:val="center"/>
        <w:rPr>
          <w:rFonts w:ascii="宋体" w:hAnsi="宋体" w:eastAsia="宋体"/>
          <w:color w:val="auto"/>
          <w:highlight w:val="none"/>
        </w:rPr>
      </w:pPr>
      <w:bookmarkStart w:id="89" w:name="_Toc24383"/>
      <w:r>
        <w:rPr>
          <w:rFonts w:hint="eastAsia" w:ascii="宋体" w:hAnsi="宋体" w:eastAsia="宋体"/>
          <w:color w:val="auto"/>
          <w:highlight w:val="none"/>
        </w:rPr>
        <w:t>其他</w:t>
      </w:r>
      <w:bookmarkEnd w:id="89"/>
    </w:p>
    <w:p>
      <w:pPr>
        <w:pStyle w:val="5"/>
        <w:widowControl w:val="0"/>
        <w:overflowPunct w:val="0"/>
        <w:spacing w:before="0" w:after="0" w:line="240" w:lineRule="auto"/>
        <w:rPr>
          <w:rFonts w:ascii="宋体" w:hAnsi="宋体" w:eastAsia="宋体"/>
          <w:color w:val="auto"/>
          <w:sz w:val="21"/>
          <w:szCs w:val="21"/>
          <w:highlight w:val="none"/>
        </w:rPr>
      </w:pPr>
      <w:bookmarkStart w:id="90" w:name="_Toc10082"/>
      <w:r>
        <w:rPr>
          <w:rFonts w:hint="eastAsia" w:ascii="宋体" w:hAnsi="宋体" w:eastAsia="宋体"/>
          <w:color w:val="auto"/>
          <w:sz w:val="21"/>
          <w:szCs w:val="21"/>
          <w:highlight w:val="none"/>
        </w:rPr>
        <w:t>35.招标文件的解释权</w:t>
      </w:r>
      <w:bookmarkEnd w:id="90"/>
    </w:p>
    <w:p>
      <w:pPr>
        <w:pStyle w:val="24"/>
        <w:widowControl w:val="0"/>
        <w:numPr>
          <w:ilvl w:val="0"/>
          <w:numId w:val="5"/>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招标文件版本号：三方诚信2019</w:t>
      </w:r>
      <w:r>
        <w:rPr>
          <w:rFonts w:hint="eastAsia" w:ascii="宋体" w:hAnsi="宋体" w:eastAsia="宋体"/>
          <w:color w:val="auto"/>
          <w:sz w:val="21"/>
          <w:szCs w:val="21"/>
          <w:highlight w:val="none"/>
          <w:lang w:val="en-US" w:eastAsia="zh-CN"/>
        </w:rPr>
        <w:t>1218</w:t>
      </w:r>
      <w:r>
        <w:rPr>
          <w:rFonts w:hint="eastAsia" w:ascii="宋体" w:hAnsi="宋体" w:eastAsia="宋体"/>
          <w:color w:val="auto"/>
          <w:sz w:val="21"/>
          <w:szCs w:val="21"/>
          <w:highlight w:val="none"/>
        </w:rPr>
        <w:t>。</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本招标文件是根据国家有关法律、法规以及政府采购管理有关规定和参照国际惯例编制，解释权属本采购代理机构。</w:t>
      </w:r>
    </w:p>
    <w:p>
      <w:pPr>
        <w:widowControl w:val="0"/>
        <w:numPr>
          <w:ilvl w:val="1"/>
          <w:numId w:val="5"/>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3"/>
        <w:spacing w:before="0" w:after="0" w:line="240" w:lineRule="auto"/>
        <w:rPr>
          <w:color w:val="auto"/>
          <w:sz w:val="28"/>
          <w:szCs w:val="28"/>
          <w:highlight w:val="none"/>
        </w:rPr>
      </w:pPr>
      <w:bookmarkStart w:id="91" w:name="_Toc21448"/>
      <w:r>
        <w:rPr>
          <w:rFonts w:hint="eastAsia"/>
          <w:color w:val="auto"/>
          <w:sz w:val="28"/>
          <w:szCs w:val="28"/>
          <w:highlight w:val="none"/>
        </w:rPr>
        <w:t>第五部分 合同格式（仅供参考）</w:t>
      </w:r>
      <w:bookmarkEnd w:id="91"/>
      <w:bookmarkStart w:id="92" w:name="_Toc21155"/>
      <w:bookmarkStart w:id="93" w:name="_Toc13430"/>
      <w:bookmarkStart w:id="94" w:name="_Toc1534"/>
    </w:p>
    <w:p>
      <w:pPr>
        <w:pStyle w:val="4"/>
        <w:spacing w:before="0" w:after="0" w:line="240" w:lineRule="auto"/>
        <w:jc w:val="center"/>
        <w:rPr>
          <w:rFonts w:ascii="宋体" w:hAnsi="宋体" w:eastAsia="宋体" w:cs="宋体"/>
          <w:color w:val="auto"/>
          <w:highlight w:val="none"/>
        </w:rPr>
      </w:pPr>
      <w:bookmarkStart w:id="95" w:name="_Toc16730"/>
      <w:r>
        <w:rPr>
          <w:rFonts w:hint="eastAsia" w:ascii="宋体" w:hAnsi="宋体" w:eastAsia="宋体" w:cs="宋体"/>
          <w:color w:val="auto"/>
          <w:highlight w:val="none"/>
        </w:rPr>
        <w:t>合同格式</w:t>
      </w:r>
      <w:bookmarkEnd w:id="92"/>
      <w:bookmarkEnd w:id="93"/>
      <w:bookmarkEnd w:id="94"/>
      <w:bookmarkEnd w:id="95"/>
    </w:p>
    <w:p>
      <w:pPr>
        <w:spacing w:line="420" w:lineRule="atLeast"/>
        <w:ind w:right="560"/>
        <w:rPr>
          <w:rFonts w:ascii="宋体" w:hAnsi="宋体" w:eastAsia="宋体"/>
          <w:color w:val="auto"/>
          <w:sz w:val="21"/>
          <w:szCs w:val="21"/>
          <w:highlight w:val="none"/>
        </w:rPr>
      </w:pPr>
      <w:r>
        <w:rPr>
          <w:rFonts w:hint="eastAsia" w:ascii="宋体" w:hAnsi="宋体" w:eastAsia="宋体"/>
          <w:color w:val="auto"/>
          <w:sz w:val="21"/>
          <w:szCs w:val="21"/>
          <w:highlight w:val="none"/>
        </w:rPr>
        <w:t>合同编号：</w:t>
      </w:r>
    </w:p>
    <w:p>
      <w:pPr>
        <w:spacing w:line="420" w:lineRule="atLeast"/>
        <w:rPr>
          <w:rFonts w:ascii="宋体" w:hAnsi="宋体" w:eastAsia="宋体"/>
          <w:color w:val="auto"/>
          <w:sz w:val="21"/>
          <w:szCs w:val="21"/>
          <w:highlight w:val="none"/>
        </w:rPr>
      </w:pPr>
      <w:r>
        <w:rPr>
          <w:rFonts w:hint="eastAsia" w:ascii="宋体" w:hAnsi="宋体" w:eastAsia="宋体"/>
          <w:color w:val="auto"/>
          <w:sz w:val="21"/>
          <w:szCs w:val="21"/>
          <w:highlight w:val="none"/>
        </w:rPr>
        <w:t>甲方：</w:t>
      </w:r>
    </w:p>
    <w:p>
      <w:pPr>
        <w:spacing w:line="420" w:lineRule="atLeas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乙方：“ </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”为中标单位</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受甲方委托，</w:t>
      </w:r>
      <w:r>
        <w:rPr>
          <w:rFonts w:hint="eastAsia" w:ascii="宋体" w:hAnsi="宋体" w:eastAsia="宋体"/>
          <w:color w:val="auto"/>
          <w:sz w:val="21"/>
          <w:szCs w:val="21"/>
          <w:highlight w:val="none"/>
          <w:u w:val="single"/>
        </w:rPr>
        <w:t xml:space="preserve">           (采购代理机构)</w:t>
      </w:r>
      <w:r>
        <w:rPr>
          <w:rFonts w:hint="eastAsia" w:ascii="宋体" w:hAnsi="宋体" w:eastAsia="宋体"/>
          <w:color w:val="auto"/>
          <w:sz w:val="21"/>
          <w:szCs w:val="21"/>
          <w:highlight w:val="none"/>
        </w:rPr>
        <w:t>组织对</w:t>
      </w:r>
      <w:r>
        <w:rPr>
          <w:rFonts w:hint="eastAsia" w:ascii="宋体" w:hAnsi="宋体" w:eastAsia="宋体"/>
          <w:color w:val="auto"/>
          <w:sz w:val="21"/>
          <w:szCs w:val="21"/>
          <w:highlight w:val="none"/>
          <w:u w:val="single"/>
        </w:rPr>
        <w:t xml:space="preserve">         （项目名称）</w:t>
      </w:r>
      <w:r>
        <w:rPr>
          <w:rFonts w:hint="eastAsia" w:ascii="宋体" w:hAnsi="宋体" w:eastAsia="宋体"/>
          <w:color w:val="auto"/>
          <w:sz w:val="21"/>
          <w:szCs w:val="21"/>
          <w:highlight w:val="none"/>
        </w:rPr>
        <w:t>采购项目（采购项目编号为</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）进行采购，于</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日通过公开招标，经评标委员会评定乙方</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为中标单位。为了保护甲、乙双方合法权益，根据《中华人民共和国政府采购法》及其实施条例、《中华人民共和国</w:t>
      </w:r>
      <w:r>
        <w:rPr>
          <w:color w:val="auto"/>
          <w:highlight w:val="none"/>
        </w:rPr>
        <w:fldChar w:fldCharType="begin"/>
      </w:r>
      <w:r>
        <w:rPr>
          <w:color w:val="auto"/>
          <w:highlight w:val="none"/>
        </w:rPr>
        <w:instrText xml:space="preserve"> HYPERLINK "http://www.chinalawedu.com/web/23251/" \t "_blank" \o "合同法" </w:instrText>
      </w:r>
      <w:r>
        <w:rPr>
          <w:color w:val="auto"/>
          <w:highlight w:val="none"/>
        </w:rPr>
        <w:fldChar w:fldCharType="separate"/>
      </w:r>
      <w:r>
        <w:rPr>
          <w:rFonts w:hint="eastAsia" w:ascii="宋体" w:hAnsi="宋体" w:eastAsia="宋体"/>
          <w:color w:val="auto"/>
          <w:sz w:val="21"/>
          <w:szCs w:val="21"/>
          <w:highlight w:val="none"/>
        </w:rPr>
        <w:t>合同法</w:t>
      </w:r>
      <w:r>
        <w:rPr>
          <w:rFonts w:hint="eastAsia" w:ascii="宋体" w:hAnsi="宋体" w:eastAsia="宋体"/>
          <w:color w:val="auto"/>
          <w:sz w:val="21"/>
          <w:szCs w:val="21"/>
          <w:highlight w:val="none"/>
        </w:rPr>
        <w:fldChar w:fldCharType="end"/>
      </w:r>
      <w:r>
        <w:rPr>
          <w:rFonts w:hint="eastAsia" w:ascii="宋体" w:hAnsi="宋体" w:eastAsia="宋体"/>
          <w:color w:val="auto"/>
          <w:sz w:val="21"/>
          <w:szCs w:val="21"/>
          <w:highlight w:val="none"/>
        </w:rPr>
        <w:t>》，在平等自愿的基础上，按照下面的条款和条件，签署本合同。</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第一条 合同项目</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1、项目名称：                              ；</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2、采购项目编号：                   。</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第二条 合同组成</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1、合同文件组成内容包括：本合同书 、中标通知书、投标文件（含澄清内容）、招标文件（含招标文件澄清通知）等。</w:t>
      </w:r>
    </w:p>
    <w:p>
      <w:pPr>
        <w:spacing w:after="0" w:line="360" w:lineRule="auto"/>
        <w:ind w:firstLine="422" w:firstLineChars="200"/>
        <w:rPr>
          <w:rFonts w:ascii="宋体" w:hAnsi="宋体" w:eastAsia="宋体"/>
          <w:b/>
          <w:color w:val="auto"/>
          <w:sz w:val="21"/>
          <w:szCs w:val="21"/>
          <w:highlight w:val="none"/>
        </w:rPr>
      </w:pPr>
      <w:bookmarkStart w:id="96" w:name="_Toc86481558"/>
      <w:r>
        <w:rPr>
          <w:rFonts w:hint="eastAsia" w:ascii="宋体" w:hAnsi="宋体" w:eastAsia="宋体"/>
          <w:b/>
          <w:color w:val="auto"/>
          <w:sz w:val="21"/>
          <w:szCs w:val="21"/>
          <w:highlight w:val="none"/>
        </w:rPr>
        <w:t>第三条 服务内容、标准及要求</w:t>
      </w:r>
    </w:p>
    <w:p>
      <w:pPr>
        <w:spacing w:after="0" w:line="360" w:lineRule="auto"/>
        <w:rPr>
          <w:rFonts w:ascii="宋体" w:hAnsi="宋体" w:eastAsia="宋体" w:cs="仿宋"/>
          <w:color w:val="auto"/>
          <w:sz w:val="21"/>
          <w:szCs w:val="21"/>
          <w:highlight w:val="none"/>
          <w:u w:val="single"/>
          <w:shd w:val="clear" w:color="auto" w:fill="FFFFFF"/>
        </w:rPr>
      </w:pPr>
      <w:r>
        <w:rPr>
          <w:rFonts w:hint="eastAsia" w:ascii="宋体" w:hAnsi="宋体" w:eastAsia="宋体" w:cs="仿宋"/>
          <w:color w:val="auto"/>
          <w:sz w:val="21"/>
          <w:szCs w:val="21"/>
          <w:highlight w:val="none"/>
          <w:shd w:val="clear" w:color="auto" w:fill="FFFFFF"/>
        </w:rPr>
        <w:t>1、采购内容：</w:t>
      </w:r>
      <w:r>
        <w:rPr>
          <w:rFonts w:hint="eastAsia" w:ascii="宋体" w:hAnsi="宋体" w:eastAsia="宋体" w:cs="仿宋"/>
          <w:color w:val="auto"/>
          <w:sz w:val="21"/>
          <w:szCs w:val="21"/>
          <w:highlight w:val="none"/>
          <w:u w:val="single"/>
          <w:shd w:val="clear" w:color="auto" w:fill="FFFFFF"/>
        </w:rPr>
        <w:t xml:space="preserve">                                                              。</w:t>
      </w:r>
    </w:p>
    <w:p>
      <w:pPr>
        <w:spacing w:after="0" w:line="360" w:lineRule="auto"/>
        <w:rPr>
          <w:rFonts w:ascii="宋体" w:hAnsi="宋体" w:eastAsia="宋体" w:cs="仿宋"/>
          <w:color w:val="auto"/>
          <w:sz w:val="21"/>
          <w:szCs w:val="21"/>
          <w:highlight w:val="none"/>
          <w:shd w:val="clear" w:color="auto" w:fill="FFFFFF"/>
        </w:rPr>
      </w:pPr>
      <w:r>
        <w:rPr>
          <w:rFonts w:hint="eastAsia" w:ascii="宋体" w:hAnsi="宋体" w:eastAsia="宋体" w:cs="仿宋"/>
          <w:color w:val="auto"/>
          <w:sz w:val="21"/>
          <w:szCs w:val="21"/>
          <w:highlight w:val="none"/>
          <w:shd w:val="clear" w:color="auto" w:fill="FFFFFF"/>
        </w:rPr>
        <w:t>2、采购标准：</w:t>
      </w:r>
      <w:r>
        <w:rPr>
          <w:rFonts w:hint="eastAsia" w:ascii="宋体" w:hAnsi="宋体" w:eastAsia="宋体" w:cs="仿宋"/>
          <w:color w:val="auto"/>
          <w:sz w:val="21"/>
          <w:szCs w:val="21"/>
          <w:highlight w:val="none"/>
          <w:u w:val="single"/>
          <w:shd w:val="clear" w:color="auto" w:fill="FFFFFF"/>
        </w:rPr>
        <w:t xml:space="preserve">                                                              。</w:t>
      </w:r>
    </w:p>
    <w:p>
      <w:pPr>
        <w:spacing w:after="0" w:line="360" w:lineRule="auto"/>
        <w:rPr>
          <w:rFonts w:ascii="宋体" w:hAnsi="宋体" w:eastAsia="宋体" w:cs="仿宋"/>
          <w:color w:val="auto"/>
          <w:sz w:val="21"/>
          <w:szCs w:val="21"/>
          <w:highlight w:val="none"/>
          <w:shd w:val="clear" w:color="auto" w:fill="FFFFFF"/>
        </w:rPr>
      </w:pPr>
      <w:r>
        <w:rPr>
          <w:rFonts w:hint="eastAsia" w:ascii="宋体" w:hAnsi="宋体" w:eastAsia="宋体" w:cs="仿宋"/>
          <w:color w:val="auto"/>
          <w:sz w:val="21"/>
          <w:szCs w:val="21"/>
          <w:highlight w:val="none"/>
          <w:shd w:val="clear" w:color="auto" w:fill="FFFFFF"/>
        </w:rPr>
        <w:t>3、采购要求：</w:t>
      </w:r>
      <w:r>
        <w:rPr>
          <w:rFonts w:hint="eastAsia" w:ascii="宋体" w:hAnsi="宋体" w:eastAsia="宋体" w:cs="仿宋"/>
          <w:color w:val="auto"/>
          <w:sz w:val="21"/>
          <w:szCs w:val="21"/>
          <w:highlight w:val="none"/>
          <w:u w:val="single"/>
          <w:shd w:val="clear" w:color="auto" w:fill="FFFFFF"/>
        </w:rPr>
        <w:t xml:space="preserve">                                                              。</w:t>
      </w:r>
    </w:p>
    <w:p>
      <w:pPr>
        <w:spacing w:after="0" w:line="360" w:lineRule="auto"/>
        <w:rPr>
          <w:rFonts w:ascii="宋体" w:hAnsi="宋体" w:eastAsia="宋体" w:cs="仿宋"/>
          <w:color w:val="auto"/>
          <w:sz w:val="21"/>
          <w:szCs w:val="21"/>
          <w:highlight w:val="none"/>
          <w:shd w:val="clear" w:color="auto" w:fill="FFFFFF"/>
        </w:rPr>
      </w:pPr>
      <w:r>
        <w:rPr>
          <w:rFonts w:hint="eastAsia" w:ascii="宋体" w:hAnsi="宋体" w:eastAsia="宋体" w:cs="仿宋"/>
          <w:color w:val="auto"/>
          <w:sz w:val="21"/>
          <w:szCs w:val="21"/>
          <w:highlight w:val="none"/>
          <w:shd w:val="clear" w:color="auto" w:fill="FFFFFF"/>
        </w:rPr>
        <w:t>4、具体采购内容采购标准及要求以招标文件用户需求书及乙方投标文件承诺条款及方案为准。</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第四条 价格</w:t>
      </w:r>
    </w:p>
    <w:p>
      <w:pPr>
        <w:spacing w:after="0" w:line="360" w:lineRule="auto"/>
        <w:ind w:firstLine="420" w:firstLineChars="200"/>
        <w:rPr>
          <w:rFonts w:ascii="宋体" w:hAnsi="宋体" w:eastAsia="宋体" w:cs="仿宋"/>
          <w:color w:val="auto"/>
          <w:sz w:val="21"/>
          <w:szCs w:val="21"/>
          <w:highlight w:val="none"/>
          <w:shd w:val="clear" w:color="auto" w:fill="FFFFFF"/>
        </w:rPr>
      </w:pPr>
      <w:r>
        <w:rPr>
          <w:rFonts w:hint="eastAsia" w:ascii="宋体" w:hAnsi="宋体" w:eastAsia="宋体" w:cs="仿宋"/>
          <w:color w:val="auto"/>
          <w:sz w:val="21"/>
          <w:szCs w:val="21"/>
          <w:highlight w:val="none"/>
          <w:shd w:val="clear" w:color="auto" w:fill="FFFFFF"/>
        </w:rPr>
        <w:t>1、合同总价包含：人工费、材料费、设备使用费、各种税费、保险费及合同实施过程中的不可预见费用等全部费用，按本次招标范围及中标价一次包干，结算时不作调整。</w:t>
      </w:r>
    </w:p>
    <w:p>
      <w:pPr>
        <w:spacing w:after="0" w:line="360" w:lineRule="auto"/>
        <w:ind w:firstLine="399" w:firstLineChars="19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2、合同总价：（人民币）大写 </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w:t>
      </w:r>
    </w:p>
    <w:p>
      <w:pPr>
        <w:spacing w:after="0" w:line="360" w:lineRule="auto"/>
        <w:ind w:firstLine="399" w:firstLineChars="190"/>
        <w:rPr>
          <w:rFonts w:ascii="宋体" w:hAnsi="宋体" w:eastAsia="宋体"/>
          <w:color w:val="auto"/>
          <w:sz w:val="21"/>
          <w:szCs w:val="21"/>
          <w:highlight w:val="none"/>
        </w:rPr>
      </w:pPr>
      <w:r>
        <w:rPr>
          <w:rFonts w:hint="eastAsia" w:ascii="宋体" w:hAnsi="宋体" w:eastAsia="宋体"/>
          <w:color w:val="auto"/>
          <w:sz w:val="21"/>
          <w:szCs w:val="21"/>
          <w:highlight w:val="none"/>
        </w:rPr>
        <w:t>3、本合同价为固定不变价。</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第五条 服务期限及地点</w:t>
      </w:r>
    </w:p>
    <w:p>
      <w:pPr>
        <w:spacing w:after="0" w:line="360" w:lineRule="auto"/>
        <w:ind w:firstLine="495" w:firstLineChars="236"/>
        <w:rPr>
          <w:rFonts w:ascii="宋体" w:hAnsi="宋体" w:eastAsia="宋体"/>
          <w:color w:val="auto"/>
          <w:sz w:val="21"/>
          <w:szCs w:val="21"/>
          <w:highlight w:val="none"/>
        </w:rPr>
      </w:pPr>
      <w:r>
        <w:rPr>
          <w:rFonts w:hint="eastAsia" w:ascii="宋体" w:hAnsi="宋体" w:eastAsia="宋体"/>
          <w:color w:val="auto"/>
          <w:sz w:val="21"/>
          <w:szCs w:val="21"/>
          <w:highlight w:val="none"/>
        </w:rPr>
        <w:t>1、服务期：  年，合同生效之日自       年  月  日至     年  月  日止。</w:t>
      </w:r>
    </w:p>
    <w:p>
      <w:pPr>
        <w:spacing w:after="0" w:line="360" w:lineRule="auto"/>
        <w:ind w:firstLine="495" w:firstLineChars="236"/>
        <w:rPr>
          <w:rFonts w:ascii="宋体" w:hAnsi="宋体" w:eastAsia="宋体"/>
          <w:color w:val="auto"/>
          <w:sz w:val="21"/>
          <w:szCs w:val="21"/>
          <w:highlight w:val="none"/>
        </w:rPr>
      </w:pPr>
      <w:r>
        <w:rPr>
          <w:rFonts w:hint="eastAsia" w:ascii="宋体" w:hAnsi="宋体" w:eastAsia="宋体"/>
          <w:color w:val="auto"/>
          <w:sz w:val="21"/>
          <w:szCs w:val="21"/>
          <w:highlight w:val="none"/>
        </w:rPr>
        <w:t>2、服务地点：              或甲方指定地点。</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第六条 付款方式</w:t>
      </w:r>
    </w:p>
    <w:p>
      <w:pPr>
        <w:pStyle w:val="15"/>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1、本合同的付款方式为：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pStyle w:val="15"/>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付款前乙方应向甲方提出请款申请及所需的材料和等额合格发票。本合同的经费由政府拨款，如因政策影响，拨款未能及时到位，乙方不得以此为由而不履行本合同规定的义务。否则，甲方按规定扣罚。如果乙方怠于或者拒绝提供资料或者办理手续的，则因此产生的付款迟延的责任全部由乙方承担。</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第七条 验收方式</w:t>
      </w:r>
    </w:p>
    <w:p>
      <w:pPr>
        <w:pStyle w:val="15"/>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1、验收应在甲乙双方共同参加下进行，依据招标文件及本合同的有关规定制定的方案进行验收，并按国家有关规定、规范进行。</w:t>
      </w:r>
    </w:p>
    <w:p>
      <w:pPr>
        <w:pStyle w:val="15"/>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2、甲方组织项目验收小组按国家有关规定、规范进行验收，必要时邀请相关专业人员或机构参与验收。</w:t>
      </w:r>
    </w:p>
    <w:p>
      <w:pPr>
        <w:pStyle w:val="15"/>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3、对验收不合格的部分，乙方应在甲方规定时间内及时整改完善直至合格。</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第八条 税和关税</w:t>
      </w:r>
    </w:p>
    <w:p>
      <w:pPr>
        <w:pStyle w:val="15"/>
        <w:spacing w:line="360" w:lineRule="auto"/>
        <w:ind w:firstLine="482"/>
        <w:rPr>
          <w:rFonts w:ascii="宋体" w:hAnsi="宋体"/>
          <w:color w:val="auto"/>
          <w:sz w:val="21"/>
          <w:szCs w:val="21"/>
          <w:highlight w:val="none"/>
        </w:rPr>
      </w:pPr>
      <w:r>
        <w:rPr>
          <w:rFonts w:hint="eastAsia" w:ascii="宋体" w:hAnsi="宋体"/>
          <w:color w:val="auto"/>
          <w:sz w:val="21"/>
          <w:szCs w:val="21"/>
          <w:highlight w:val="none"/>
        </w:rPr>
        <w:t>1、中国政府根据现行税法对甲方征收的与本合同有关的一切税费均应由甲方承担。</w:t>
      </w:r>
    </w:p>
    <w:p>
      <w:pPr>
        <w:pStyle w:val="15"/>
        <w:spacing w:line="360" w:lineRule="auto"/>
        <w:ind w:firstLine="482"/>
        <w:rPr>
          <w:rFonts w:ascii="宋体" w:hAnsi="宋体"/>
          <w:color w:val="auto"/>
          <w:sz w:val="21"/>
          <w:szCs w:val="21"/>
          <w:highlight w:val="none"/>
        </w:rPr>
      </w:pPr>
      <w:r>
        <w:rPr>
          <w:rFonts w:hint="eastAsia" w:ascii="宋体" w:hAnsi="宋体"/>
          <w:color w:val="auto"/>
          <w:sz w:val="21"/>
          <w:szCs w:val="21"/>
          <w:highlight w:val="none"/>
        </w:rPr>
        <w:t>2、中国政府根据现行税法规定对乙方或其雇员征收的与本合同有关的一切税费应由乙方承担。</w:t>
      </w:r>
    </w:p>
    <w:p>
      <w:pPr>
        <w:pStyle w:val="15"/>
        <w:spacing w:line="360" w:lineRule="auto"/>
        <w:ind w:firstLine="482"/>
        <w:rPr>
          <w:rFonts w:ascii="宋体" w:hAnsi="宋体"/>
          <w:color w:val="auto"/>
          <w:sz w:val="21"/>
          <w:szCs w:val="21"/>
          <w:highlight w:val="none"/>
        </w:rPr>
      </w:pPr>
      <w:r>
        <w:rPr>
          <w:rFonts w:hint="eastAsia" w:ascii="宋体" w:hAnsi="宋体"/>
          <w:color w:val="auto"/>
          <w:sz w:val="21"/>
          <w:szCs w:val="21"/>
          <w:highlight w:val="none"/>
        </w:rPr>
        <w:t>3、在中国境外发生的与本合同执行有关的一切税费均应由乙方承担。</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第九条 其它约定</w:t>
      </w:r>
    </w:p>
    <w:p>
      <w:pPr>
        <w:spacing w:after="0"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1</w:t>
      </w:r>
      <w:r>
        <w:rPr>
          <w:rFonts w:hint="eastAsia" w:ascii="宋体" w:hAnsi="宋体" w:eastAsia="宋体"/>
          <w:color w:val="auto"/>
          <w:sz w:val="21"/>
          <w:szCs w:val="21"/>
          <w:highlight w:val="none"/>
        </w:rPr>
        <w:t>、严禁转包，未经甲方书面同意不得分包。</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2、乙方全部工作人员，须符合东莞市政府用工标准要求。</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3、乙方服务人员进行服务期间的过失或故意行为，造成甲方经济损失的，由乙方负责赔偿。</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4、服务人员的劳动关系隶属乙方，乙方负责服务人员的工资、节假日和超时加班补助费、社会保险、住宿、伙食等。</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5、乙方负责本项目服务人员购买因意外身故或伤残和因意外事故住院治疗保险，并负责办理一切保险赔偿手续。</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第十条 违约责任</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1、合同双方任何一方不履行合同条款或不按合同约定履行条款的其它情况，均属违约，由违约方承担违约责任，赔偿因其违约造成的损失，并支付合同价款总额</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%的违约金。</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2、由于乙方的原因，导致双方签订的合同终止，乙方因此而遭受的损失，将由乙方独立承担，甲方对此不负任何责任，也不作任何赔偿。</w:t>
      </w:r>
    </w:p>
    <w:bookmarkEnd w:id="96"/>
    <w:p>
      <w:pPr>
        <w:spacing w:after="0" w:line="360" w:lineRule="auto"/>
        <w:ind w:firstLine="422" w:firstLineChars="200"/>
        <w:rPr>
          <w:rFonts w:ascii="宋体" w:hAnsi="宋体" w:eastAsia="宋体"/>
          <w:b/>
          <w:color w:val="auto"/>
          <w:sz w:val="21"/>
          <w:szCs w:val="21"/>
          <w:highlight w:val="none"/>
        </w:rPr>
      </w:pPr>
      <w:bookmarkStart w:id="97" w:name="_Toc86481570"/>
      <w:r>
        <w:rPr>
          <w:rFonts w:hint="eastAsia" w:ascii="宋体" w:hAnsi="宋体" w:eastAsia="宋体"/>
          <w:b/>
          <w:color w:val="auto"/>
          <w:sz w:val="21"/>
          <w:szCs w:val="21"/>
          <w:highlight w:val="none"/>
        </w:rPr>
        <w:t>第十一条 争议的解决</w:t>
      </w: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1、凡与本合同有关而引起的一切争议，甲乙双方应首先通过友好协商解决，如经协商后仍不能达成协议时，任何一方可以向法院提出诉讼。</w:t>
      </w: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2、本合同发生的诉讼管辖地为东莞市有管辖权的法院。</w:t>
      </w: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3、在进行法院审理期间，除提交法院审理的事项外，合同其他部分仍继续履行。</w:t>
      </w:r>
    </w:p>
    <w:p>
      <w:pPr>
        <w:spacing w:after="0" w:line="360" w:lineRule="auto"/>
        <w:ind w:firstLine="420" w:firstLineChars="200"/>
        <w:rPr>
          <w:rFonts w:ascii="宋体" w:hAnsi="宋体" w:eastAsia="宋体" w:cs="仿宋"/>
          <w:color w:val="auto"/>
          <w:sz w:val="21"/>
          <w:szCs w:val="21"/>
          <w:highlight w:val="none"/>
          <w:shd w:val="clear" w:color="auto" w:fill="FFFFFF"/>
        </w:rPr>
      </w:pPr>
      <w:r>
        <w:rPr>
          <w:rFonts w:hint="eastAsia" w:ascii="宋体" w:hAnsi="宋体" w:eastAsia="宋体" w:cs="宋体"/>
          <w:color w:val="auto"/>
          <w:sz w:val="21"/>
          <w:szCs w:val="21"/>
          <w:highlight w:val="none"/>
        </w:rPr>
        <w:t>4、本合同按照中华人民共和国的法律进行解释</w:t>
      </w:r>
      <w:r>
        <w:rPr>
          <w:rFonts w:hint="eastAsia" w:ascii="宋体" w:hAnsi="宋体" w:eastAsia="宋体" w:cs="仿宋"/>
          <w:color w:val="auto"/>
          <w:sz w:val="21"/>
          <w:szCs w:val="21"/>
          <w:highlight w:val="none"/>
          <w:shd w:val="clear" w:color="auto" w:fill="FFFFFF"/>
        </w:rPr>
        <w:t>。</w:t>
      </w:r>
    </w:p>
    <w:p>
      <w:pPr>
        <w:spacing w:after="0" w:line="360" w:lineRule="auto"/>
        <w:ind w:firstLine="422" w:firstLineChars="200"/>
        <w:rPr>
          <w:rFonts w:ascii="宋体" w:hAnsi="宋体" w:eastAsia="宋体"/>
          <w:b/>
          <w:color w:val="auto"/>
          <w:sz w:val="21"/>
          <w:szCs w:val="21"/>
          <w:highlight w:val="none"/>
        </w:rPr>
      </w:pPr>
      <w:bookmarkStart w:id="98" w:name="_Toc86481569"/>
      <w:r>
        <w:rPr>
          <w:rFonts w:hint="eastAsia" w:ascii="宋体" w:hAnsi="宋体" w:eastAsia="宋体"/>
          <w:b/>
          <w:color w:val="auto"/>
          <w:sz w:val="21"/>
          <w:szCs w:val="21"/>
          <w:highlight w:val="none"/>
        </w:rPr>
        <w:t>第十二条 合同生效</w:t>
      </w:r>
      <w:bookmarkEnd w:id="98"/>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1、本合同由双方法定代表人或委托代理人签字盖章后立即生效，具有同等法律效力，合同有效期随服务期结束而自然终止。</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2、本合同一式    份，其中甲方    份、乙方    份，采购代理机构 壹 份（须在合同签订之日起7个工作日内递交）。</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第十三条 其它</w:t>
      </w:r>
      <w:bookmarkEnd w:id="97"/>
    </w:p>
    <w:p>
      <w:pPr>
        <w:spacing w:after="0" w:line="360" w:lineRule="auto"/>
        <w:ind w:firstLine="399" w:firstLineChars="190"/>
        <w:rPr>
          <w:rFonts w:ascii="宋体" w:hAnsi="宋体" w:eastAsia="宋体"/>
          <w:color w:val="auto"/>
          <w:sz w:val="21"/>
          <w:szCs w:val="21"/>
          <w:highlight w:val="none"/>
        </w:rPr>
      </w:pPr>
      <w:r>
        <w:rPr>
          <w:rFonts w:hint="eastAsia" w:ascii="宋体" w:hAnsi="宋体" w:eastAsia="宋体"/>
          <w:color w:val="auto"/>
          <w:sz w:val="21"/>
          <w:szCs w:val="21"/>
          <w:highlight w:val="none"/>
        </w:rPr>
        <w:t>1、本合同未尽事宜，双方可签订补充合同，补充合同与所有附件均为合同的有效组成部分，与本合同具有同等法律效力。</w:t>
      </w:r>
    </w:p>
    <w:p>
      <w:pPr>
        <w:spacing w:after="0" w:line="360" w:lineRule="auto"/>
        <w:ind w:firstLine="399" w:firstLineChars="190"/>
        <w:rPr>
          <w:rFonts w:ascii="宋体" w:hAnsi="宋体" w:eastAsia="宋体"/>
          <w:color w:val="auto"/>
          <w:sz w:val="21"/>
          <w:szCs w:val="21"/>
          <w:highlight w:val="none"/>
        </w:rPr>
      </w:pPr>
      <w:r>
        <w:rPr>
          <w:rFonts w:hint="eastAsia" w:ascii="宋体" w:hAnsi="宋体" w:eastAsia="宋体"/>
          <w:color w:val="auto"/>
          <w:sz w:val="21"/>
          <w:szCs w:val="21"/>
          <w:highlight w:val="none"/>
        </w:rPr>
        <w:t>2、在执行本合同的过程中，所有经甲乙双方签署确认的文件（包括会议纪要、补充协议、往来信函、合同附件等）即成为本合同的有效组成部分，其生效日期为双方签字盖章或确认之日期。</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本合同合计   页A4纸张，缺页之合同为无效合同。</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甲方（盖章）：                      乙方（盖章）：</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法定代表(签字)：                   法定代表(签字)：</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地址：                             地址： </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电话：                             电话：</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传真：</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传真：</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开户银行：</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 xml:space="preserve">                     开户银行：</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账号：                             账号：</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签约时间：</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签约地点：</w:t>
      </w:r>
    </w:p>
    <w:p>
      <w:pPr>
        <w:rPr>
          <w:rFonts w:ascii="宋体" w:hAnsi="宋体" w:eastAsia="宋体"/>
          <w:b/>
          <w:color w:val="auto"/>
          <w:sz w:val="21"/>
          <w:szCs w:val="21"/>
          <w:highlight w:val="none"/>
        </w:rPr>
      </w:pPr>
      <w:r>
        <w:rPr>
          <w:rFonts w:hint="eastAsia" w:ascii="宋体" w:hAnsi="宋体" w:eastAsia="宋体"/>
          <w:b/>
          <w:color w:val="auto"/>
          <w:sz w:val="21"/>
          <w:szCs w:val="21"/>
          <w:highlight w:val="none"/>
        </w:rPr>
        <w:t>此仅为合同书样本，中标人需根据实际情况和甲方签订相应的合同！</w:t>
      </w:r>
    </w:p>
    <w:p>
      <w:pPr>
        <w:rPr>
          <w:rFonts w:ascii="宋体" w:hAnsi="宋体" w:eastAsia="宋体"/>
          <w:b/>
          <w:color w:val="auto"/>
          <w:sz w:val="21"/>
          <w:szCs w:val="21"/>
          <w:highlight w:val="none"/>
        </w:rPr>
      </w:pPr>
      <w:r>
        <w:rPr>
          <w:rFonts w:hint="eastAsia" w:ascii="宋体" w:hAnsi="宋体" w:eastAsia="宋体"/>
          <w:b/>
          <w:color w:val="auto"/>
          <w:sz w:val="21"/>
          <w:szCs w:val="21"/>
          <w:highlight w:val="none"/>
        </w:rPr>
        <w:br w:type="page"/>
      </w:r>
    </w:p>
    <w:p>
      <w:pPr>
        <w:pStyle w:val="3"/>
        <w:spacing w:before="0" w:after="0" w:line="240" w:lineRule="auto"/>
        <w:rPr>
          <w:color w:val="auto"/>
          <w:sz w:val="28"/>
          <w:szCs w:val="28"/>
          <w:highlight w:val="none"/>
        </w:rPr>
      </w:pPr>
      <w:bookmarkStart w:id="99" w:name="_Toc23749"/>
      <w:r>
        <w:rPr>
          <w:rFonts w:hint="eastAsia"/>
          <w:color w:val="auto"/>
          <w:sz w:val="28"/>
          <w:szCs w:val="28"/>
          <w:highlight w:val="none"/>
        </w:rPr>
        <w:t>第六部分  附件－投标文件格式</w:t>
      </w:r>
      <w:bookmarkEnd w:id="99"/>
    </w:p>
    <w:p>
      <w:pPr>
        <w:rPr>
          <w:color w:val="auto"/>
          <w:highlight w:val="none"/>
        </w:rPr>
      </w:pPr>
    </w:p>
    <w:p>
      <w:pPr>
        <w:pStyle w:val="5"/>
        <w:widowControl w:val="0"/>
        <w:overflowPunct w:val="0"/>
        <w:spacing w:before="0" w:after="0" w:line="240" w:lineRule="auto"/>
        <w:rPr>
          <w:rFonts w:ascii="宋体" w:hAnsi="宋体" w:eastAsia="宋体"/>
          <w:color w:val="auto"/>
          <w:sz w:val="21"/>
          <w:szCs w:val="21"/>
          <w:highlight w:val="none"/>
        </w:rPr>
      </w:pPr>
      <w:bookmarkStart w:id="100" w:name="_Toc26830"/>
      <w:r>
        <w:rPr>
          <w:rFonts w:hint="eastAsia" w:ascii="宋体" w:hAnsi="宋体" w:eastAsia="宋体"/>
          <w:color w:val="auto"/>
          <w:sz w:val="21"/>
          <w:szCs w:val="21"/>
          <w:highlight w:val="none"/>
        </w:rPr>
        <w:t>附件1.投标文件目录</w:t>
      </w:r>
      <w:bookmarkEnd w:id="100"/>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目录</w:t>
      </w:r>
    </w:p>
    <w:p>
      <w:pPr>
        <w:adjustRightInd/>
        <w:snapToGrid/>
        <w:spacing w:line="276"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格式自理。</w:t>
      </w: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adjustRightInd/>
        <w:snapToGrid/>
        <w:spacing w:line="276" w:lineRule="auto"/>
        <w:rPr>
          <w:rFonts w:ascii="宋体" w:hAnsi="宋体" w:eastAsia="宋体"/>
          <w:color w:val="auto"/>
          <w:sz w:val="21"/>
          <w:szCs w:val="21"/>
          <w:highlight w:val="none"/>
        </w:rPr>
      </w:pPr>
      <w:r>
        <w:rPr>
          <w:rFonts w:hint="eastAsia" w:ascii="宋体" w:hAnsi="宋体" w:eastAsia="宋体"/>
          <w:color w:val="auto"/>
          <w:sz w:val="21"/>
          <w:szCs w:val="21"/>
          <w:highlight w:val="none"/>
        </w:rPr>
        <w:t>1、投标人制作的投标文件应当具备目录。</w:t>
      </w:r>
      <w:r>
        <w:rPr>
          <w:rFonts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01" w:name="_Toc18893"/>
      <w:r>
        <w:rPr>
          <w:rFonts w:hint="eastAsia" w:ascii="宋体" w:hAnsi="宋体" w:eastAsia="宋体"/>
          <w:color w:val="auto"/>
          <w:sz w:val="21"/>
          <w:szCs w:val="21"/>
          <w:highlight w:val="none"/>
        </w:rPr>
        <w:t>附件1-1 评分标准索引表</w:t>
      </w:r>
      <w:bookmarkEnd w:id="101"/>
    </w:p>
    <w:p>
      <w:pPr>
        <w:adjustRightInd/>
        <w:snapToGrid/>
        <w:spacing w:line="276" w:lineRule="auto"/>
        <w:rPr>
          <w:rFonts w:ascii="宋体" w:hAnsi="宋体" w:eastAsia="宋体"/>
          <w:color w:val="auto"/>
          <w:sz w:val="21"/>
          <w:szCs w:val="21"/>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评分标准索引表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4" w:type="dxa"/>
            <w:vAlign w:val="center"/>
          </w:tcPr>
          <w:p>
            <w:pPr>
              <w:spacing w:after="0"/>
              <w:jc w:val="center"/>
              <w:rPr>
                <w:rFonts w:ascii="宋体" w:hAnsi="宋体" w:eastAsia="宋体" w:cs="宋体"/>
                <w:color w:val="auto"/>
                <w:highlight w:val="none"/>
              </w:rPr>
            </w:pPr>
            <w:r>
              <w:rPr>
                <w:rFonts w:hint="eastAsia" w:ascii="宋体" w:hAnsi="宋体" w:eastAsia="宋体" w:cs="宋体"/>
                <w:color w:val="auto"/>
                <w:highlight w:val="none"/>
              </w:rPr>
              <w:t>序号</w:t>
            </w:r>
          </w:p>
        </w:tc>
        <w:tc>
          <w:tcPr>
            <w:tcW w:w="1704" w:type="dxa"/>
            <w:vAlign w:val="center"/>
          </w:tcPr>
          <w:p>
            <w:pPr>
              <w:spacing w:after="0"/>
              <w:jc w:val="center"/>
              <w:rPr>
                <w:rFonts w:ascii="宋体" w:hAnsi="宋体" w:eastAsia="宋体" w:cs="宋体"/>
                <w:color w:val="auto"/>
                <w:highlight w:val="none"/>
              </w:rPr>
            </w:pPr>
            <w:r>
              <w:rPr>
                <w:rFonts w:hint="eastAsia" w:ascii="宋体" w:hAnsi="宋体" w:eastAsia="宋体" w:cs="宋体"/>
                <w:color w:val="auto"/>
                <w:highlight w:val="none"/>
              </w:rPr>
              <w:t>评审项目</w:t>
            </w:r>
          </w:p>
        </w:tc>
        <w:tc>
          <w:tcPr>
            <w:tcW w:w="1704" w:type="dxa"/>
            <w:vAlign w:val="center"/>
          </w:tcPr>
          <w:p>
            <w:pPr>
              <w:spacing w:after="0"/>
              <w:jc w:val="center"/>
              <w:rPr>
                <w:rFonts w:ascii="宋体" w:hAnsi="宋体" w:eastAsia="宋体" w:cs="宋体"/>
                <w:color w:val="auto"/>
                <w:highlight w:val="none"/>
              </w:rPr>
            </w:pPr>
            <w:r>
              <w:rPr>
                <w:rFonts w:hint="eastAsia" w:ascii="宋体" w:hAnsi="宋体" w:eastAsia="宋体" w:cs="宋体"/>
                <w:color w:val="auto"/>
                <w:highlight w:val="none"/>
              </w:rPr>
              <w:t>评分细则</w:t>
            </w:r>
          </w:p>
        </w:tc>
        <w:tc>
          <w:tcPr>
            <w:tcW w:w="1705" w:type="dxa"/>
            <w:vAlign w:val="center"/>
          </w:tcPr>
          <w:p>
            <w:pPr>
              <w:spacing w:after="0"/>
              <w:jc w:val="center"/>
              <w:rPr>
                <w:rFonts w:ascii="宋体" w:hAnsi="宋体" w:eastAsia="宋体" w:cs="宋体"/>
                <w:color w:val="auto"/>
                <w:highlight w:val="none"/>
              </w:rPr>
            </w:pPr>
            <w:r>
              <w:rPr>
                <w:rFonts w:hint="eastAsia" w:ascii="宋体" w:hAnsi="宋体" w:eastAsia="宋体" w:cs="宋体"/>
                <w:color w:val="auto"/>
                <w:highlight w:val="none"/>
              </w:rPr>
              <w:t>分值</w:t>
            </w:r>
          </w:p>
        </w:tc>
        <w:tc>
          <w:tcPr>
            <w:tcW w:w="1705" w:type="dxa"/>
            <w:vAlign w:val="center"/>
          </w:tcPr>
          <w:p>
            <w:pPr>
              <w:spacing w:after="0"/>
              <w:jc w:val="center"/>
              <w:rPr>
                <w:rFonts w:ascii="宋体" w:hAnsi="宋体" w:eastAsia="宋体" w:cs="宋体"/>
                <w:color w:val="auto"/>
                <w:highlight w:val="none"/>
              </w:rPr>
            </w:pPr>
            <w:r>
              <w:rPr>
                <w:rFonts w:hint="eastAsia" w:ascii="宋体" w:hAnsi="宋体" w:eastAsia="宋体" w:cs="宋体"/>
                <w:color w:val="auto"/>
                <w:highlight w:val="none"/>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ascii="宋体" w:hAnsi="宋体" w:eastAsia="宋体" w:cs="宋体"/>
                <w:color w:val="auto"/>
                <w:highlight w:val="none"/>
              </w:rPr>
            </w:pPr>
            <w:r>
              <w:rPr>
                <w:rFonts w:hint="eastAsia" w:ascii="宋体" w:hAnsi="宋体" w:eastAsia="宋体" w:cs="宋体"/>
                <w:color w:val="auto"/>
                <w:highlight w:val="none"/>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ascii="宋体" w:hAnsi="宋体" w:eastAsia="宋体" w:cs="宋体"/>
                <w:color w:val="auto"/>
                <w:highlight w:val="none"/>
              </w:rPr>
            </w:pPr>
            <w:r>
              <w:rPr>
                <w:rFonts w:hint="eastAsia" w:ascii="宋体" w:hAnsi="宋体" w:eastAsia="宋体" w:cs="宋体"/>
                <w:color w:val="auto"/>
                <w:highlight w:val="none"/>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r>
    </w:tbl>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numPr>
          <w:ilvl w:val="0"/>
          <w:numId w:val="11"/>
        </w:numPr>
        <w:rPr>
          <w:rFonts w:ascii="宋体" w:hAnsi="宋体" w:eastAsia="宋体"/>
          <w:color w:val="auto"/>
          <w:sz w:val="21"/>
          <w:szCs w:val="21"/>
          <w:highlight w:val="none"/>
        </w:rPr>
      </w:pPr>
      <w:r>
        <w:rPr>
          <w:rFonts w:hint="eastAsia" w:ascii="宋体" w:hAnsi="宋体" w:eastAsia="宋体"/>
          <w:color w:val="auto"/>
          <w:sz w:val="21"/>
          <w:szCs w:val="21"/>
          <w:highlight w:val="none"/>
        </w:rPr>
        <w:t>该表格为参考格式，投标人可按实际情况自行制订评分标准索引表。</w:t>
      </w:r>
    </w:p>
    <w:p>
      <w:pPr>
        <w:pStyle w:val="2"/>
        <w:spacing w:before="0"/>
        <w:ind w:left="0"/>
        <w:rPr>
          <w:color w:val="auto"/>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r>
        <w:rPr>
          <w:rFonts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02" w:name="_Toc30640"/>
      <w:r>
        <w:rPr>
          <w:rFonts w:hint="eastAsia" w:ascii="宋体" w:hAnsi="宋体" w:eastAsia="宋体"/>
          <w:color w:val="auto"/>
          <w:sz w:val="21"/>
          <w:szCs w:val="21"/>
          <w:highlight w:val="none"/>
        </w:rPr>
        <w:t>附件2.投标书格式</w:t>
      </w:r>
      <w:bookmarkEnd w:id="102"/>
    </w:p>
    <w:p>
      <w:pPr>
        <w:jc w:val="center"/>
        <w:rPr>
          <w:rFonts w:ascii="宋体" w:hAnsi="宋体" w:eastAsia="宋体"/>
          <w:color w:val="auto"/>
          <w:sz w:val="21"/>
          <w:szCs w:val="21"/>
          <w:highlight w:val="none"/>
        </w:rPr>
      </w:pPr>
      <w:r>
        <w:rPr>
          <w:rFonts w:hint="eastAsia" w:ascii="黑体" w:eastAsia="黑体"/>
          <w:color w:val="auto"/>
          <w:sz w:val="32"/>
          <w:szCs w:val="32"/>
          <w:highlight w:val="none"/>
        </w:rPr>
        <w:t>投标书</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致：广东三方诚信招标有限公司东莞分公司：</w:t>
      </w:r>
    </w:p>
    <w:p>
      <w:pPr>
        <w:spacing w:after="0" w:line="360" w:lineRule="auto"/>
        <w:rPr>
          <w:rFonts w:ascii="宋体" w:hAnsi="宋体" w:eastAsia="宋体"/>
          <w:color w:val="auto"/>
          <w:sz w:val="21"/>
          <w:szCs w:val="21"/>
          <w:highlight w:val="none"/>
        </w:rPr>
      </w:pP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根据贵方为</w:t>
      </w:r>
      <w:r>
        <w:rPr>
          <w:rFonts w:hint="eastAsia" w:ascii="宋体" w:hAnsi="宋体" w:eastAsia="宋体"/>
          <w:color w:val="auto"/>
          <w:sz w:val="21"/>
          <w:szCs w:val="21"/>
          <w:highlight w:val="none"/>
          <w:u w:val="single"/>
        </w:rPr>
        <w:t>（项目名称）（采购项目编号）</w:t>
      </w:r>
      <w:r>
        <w:rPr>
          <w:rFonts w:hint="eastAsia" w:ascii="宋体" w:hAnsi="宋体" w:eastAsia="宋体"/>
          <w:color w:val="auto"/>
          <w:sz w:val="21"/>
          <w:szCs w:val="21"/>
          <w:highlight w:val="none"/>
        </w:rPr>
        <w:t>项目招标公告/招标邀请，签字代表</w:t>
      </w:r>
      <w:r>
        <w:rPr>
          <w:rFonts w:hint="eastAsia" w:ascii="宋体" w:hAnsi="宋体" w:eastAsia="宋体"/>
          <w:color w:val="auto"/>
          <w:sz w:val="21"/>
          <w:szCs w:val="21"/>
          <w:highlight w:val="none"/>
          <w:u w:val="single"/>
        </w:rPr>
        <w:t>（姓名、职务）</w:t>
      </w:r>
      <w:r>
        <w:rPr>
          <w:rFonts w:hint="eastAsia" w:ascii="宋体" w:hAnsi="宋体" w:eastAsia="宋体"/>
          <w:color w:val="auto"/>
          <w:sz w:val="21"/>
          <w:szCs w:val="21"/>
          <w:highlight w:val="none"/>
        </w:rPr>
        <w:t>经正式授权并代表投标人</w:t>
      </w:r>
      <w:r>
        <w:rPr>
          <w:rFonts w:hint="eastAsia" w:ascii="宋体" w:hAnsi="宋体" w:eastAsia="宋体"/>
          <w:color w:val="auto"/>
          <w:sz w:val="21"/>
          <w:szCs w:val="21"/>
          <w:highlight w:val="none"/>
          <w:u w:val="single"/>
        </w:rPr>
        <w:t>（投标人名称、地址）</w:t>
      </w:r>
      <w:r>
        <w:rPr>
          <w:rFonts w:hint="eastAsia" w:ascii="宋体" w:hAnsi="宋体" w:eastAsia="宋体"/>
          <w:color w:val="auto"/>
          <w:sz w:val="21"/>
          <w:szCs w:val="21"/>
          <w:highlight w:val="none"/>
        </w:rPr>
        <w:t>提交投标文件及“开标文件”：</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在此，签字代表宣布同意如下： </w:t>
      </w:r>
    </w:p>
    <w:p>
      <w:pPr>
        <w:widowControl w:val="0"/>
        <w:numPr>
          <w:ilvl w:val="0"/>
          <w:numId w:val="12"/>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我方将按招标文件的规定履行合同责任和义务。 </w:t>
      </w:r>
    </w:p>
    <w:p>
      <w:pPr>
        <w:widowControl w:val="0"/>
        <w:numPr>
          <w:ilvl w:val="0"/>
          <w:numId w:val="12"/>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r>
        <w:rPr>
          <w:rFonts w:hint="eastAsia" w:ascii="宋体" w:hAnsi="宋体" w:eastAsia="宋体"/>
          <w:color w:val="auto"/>
          <w:sz w:val="21"/>
          <w:szCs w:val="21"/>
          <w:highlight w:val="none"/>
        </w:rPr>
        <w:t xml:space="preserve"> </w:t>
      </w:r>
    </w:p>
    <w:p>
      <w:pPr>
        <w:widowControl w:val="0"/>
        <w:numPr>
          <w:ilvl w:val="0"/>
          <w:numId w:val="12"/>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本投标有效期为自开标日起</w:t>
      </w:r>
      <w:r>
        <w:rPr>
          <w:rFonts w:hint="eastAsia" w:ascii="宋体" w:hAnsi="宋体" w:eastAsia="宋体"/>
          <w:color w:val="auto"/>
          <w:sz w:val="21"/>
          <w:szCs w:val="21"/>
          <w:highlight w:val="none"/>
          <w:u w:val="single"/>
        </w:rPr>
        <w:t>90</w:t>
      </w:r>
      <w:r>
        <w:rPr>
          <w:rFonts w:hint="eastAsia" w:ascii="宋体" w:hAnsi="宋体" w:eastAsia="宋体"/>
          <w:color w:val="auto"/>
          <w:sz w:val="21"/>
          <w:szCs w:val="21"/>
          <w:highlight w:val="none"/>
        </w:rPr>
        <w:t xml:space="preserve">个日历日。 </w:t>
      </w:r>
    </w:p>
    <w:p>
      <w:pPr>
        <w:widowControl w:val="0"/>
        <w:numPr>
          <w:ilvl w:val="0"/>
          <w:numId w:val="12"/>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我方保证遵守投标人须知中关于没收投标保证金的规定。</w:t>
      </w:r>
    </w:p>
    <w:p>
      <w:pPr>
        <w:widowControl w:val="0"/>
        <w:numPr>
          <w:ilvl w:val="0"/>
          <w:numId w:val="12"/>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我方承诺，与买方聘请的为此项目提供咨询服务的公司及任何附属机构均无关联，我方不是买方的附属机构。 </w:t>
      </w:r>
    </w:p>
    <w:p>
      <w:pPr>
        <w:widowControl w:val="0"/>
        <w:numPr>
          <w:ilvl w:val="0"/>
          <w:numId w:val="12"/>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我方承诺，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widowControl w:val="0"/>
        <w:numPr>
          <w:ilvl w:val="0"/>
          <w:numId w:val="12"/>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我方同意提供按照贵方可能要求的与其投标有关的一切数据或资料。</w:t>
      </w:r>
    </w:p>
    <w:p>
      <w:pPr>
        <w:widowControl w:val="0"/>
        <w:numPr>
          <w:ilvl w:val="0"/>
          <w:numId w:val="12"/>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与本投标有关的一切正式信函请寄：</w:t>
      </w:r>
    </w:p>
    <w:p>
      <w:pPr>
        <w:spacing w:after="0" w:line="360" w:lineRule="auto"/>
        <w:rPr>
          <w:rFonts w:ascii="宋体" w:hAnsi="宋体" w:eastAsia="宋体"/>
          <w:color w:val="auto"/>
          <w:sz w:val="21"/>
          <w:szCs w:val="21"/>
          <w:highlight w:val="none"/>
        </w:rPr>
      </w:pP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地址：　　　　　　　　　　　　　　　　　　　传真：</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电话/移动电话：　　　　　　　　　　　　　　　电子函件：</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投标人代表签字： </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投标人名称（全称）： </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投标人盖章： </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投标人开户银行（全称）：</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投标人银行帐号：</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日期：</w:t>
      </w:r>
    </w:p>
    <w:p>
      <w:pPr>
        <w:pStyle w:val="5"/>
        <w:widowControl w:val="0"/>
        <w:overflowPunct w:val="0"/>
        <w:spacing w:before="0" w:after="0" w:line="240" w:lineRule="auto"/>
        <w:rPr>
          <w:rFonts w:ascii="宋体" w:hAnsi="宋体" w:eastAsia="宋体"/>
          <w:color w:val="auto"/>
          <w:sz w:val="21"/>
          <w:szCs w:val="21"/>
          <w:highlight w:val="none"/>
        </w:rPr>
      </w:pPr>
      <w:bookmarkStart w:id="103" w:name="_Toc6866"/>
      <w:r>
        <w:rPr>
          <w:rFonts w:hint="eastAsia" w:ascii="宋体" w:hAnsi="宋体" w:eastAsia="宋体"/>
          <w:color w:val="auto"/>
          <w:sz w:val="21"/>
          <w:szCs w:val="21"/>
          <w:highlight w:val="none"/>
        </w:rPr>
        <w:t>附件3.开标一览表格式</w:t>
      </w:r>
      <w:bookmarkEnd w:id="103"/>
    </w:p>
    <w:p>
      <w:pPr>
        <w:jc w:val="center"/>
        <w:rPr>
          <w:rFonts w:ascii="黑体" w:eastAsia="黑体"/>
          <w:color w:val="auto"/>
          <w:sz w:val="32"/>
          <w:szCs w:val="32"/>
          <w:highlight w:val="none"/>
        </w:rPr>
      </w:pPr>
      <w:r>
        <w:rPr>
          <w:rFonts w:hint="eastAsia" w:ascii="黑体" w:eastAsia="黑体"/>
          <w:color w:val="auto"/>
          <w:sz w:val="32"/>
          <w:szCs w:val="32"/>
          <w:highlight w:val="none"/>
        </w:rPr>
        <w:t>开标一览表</w:t>
      </w:r>
    </w:p>
    <w:p>
      <w:pPr>
        <w:spacing w:line="360" w:lineRule="auto"/>
        <w:rPr>
          <w:color w:val="auto"/>
          <w:highlight w:val="none"/>
        </w:rPr>
      </w:pP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投标人名称：</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采购项目编号：</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9"/>
        <w:gridCol w:w="1890"/>
        <w:gridCol w:w="209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660" w:type="pct"/>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项目名称</w:t>
            </w:r>
          </w:p>
        </w:tc>
        <w:tc>
          <w:tcPr>
            <w:tcW w:w="1109" w:type="pct"/>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lang w:eastAsia="zh-CN"/>
              </w:rPr>
              <w:t>监测费下浮率</w:t>
            </w:r>
          </w:p>
        </w:tc>
        <w:tc>
          <w:tcPr>
            <w:tcW w:w="1229" w:type="pct"/>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检测费下浮率</w:t>
            </w:r>
          </w:p>
        </w:tc>
        <w:tc>
          <w:tcPr>
            <w:tcW w:w="1000" w:type="pct"/>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1660" w:type="pct"/>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highlight w:val="none"/>
              </w:rPr>
            </w:pPr>
          </w:p>
        </w:tc>
        <w:tc>
          <w:tcPr>
            <w:tcW w:w="1109" w:type="pct"/>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rFonts w:hint="eastAsia" w:ascii="宋体" w:hAnsi="宋体" w:eastAsia="宋体"/>
                <w:color w:val="auto"/>
                <w:sz w:val="21"/>
                <w:szCs w:val="21"/>
                <w:highlight w:val="none"/>
                <w:lang w:eastAsia="zh-CN"/>
              </w:rPr>
            </w:pPr>
          </w:p>
        </w:tc>
        <w:tc>
          <w:tcPr>
            <w:tcW w:w="1229" w:type="pct"/>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rFonts w:hint="eastAsia" w:ascii="宋体" w:hAnsi="宋体" w:eastAsia="宋体"/>
                <w:color w:val="auto"/>
                <w:sz w:val="21"/>
                <w:szCs w:val="21"/>
                <w:highlight w:val="none"/>
                <w:lang w:eastAsia="zh-CN"/>
              </w:rPr>
            </w:pPr>
          </w:p>
        </w:tc>
        <w:tc>
          <w:tcPr>
            <w:tcW w:w="1000" w:type="pct"/>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highlight w:val="none"/>
              </w:rPr>
            </w:pPr>
          </w:p>
        </w:tc>
      </w:tr>
    </w:tbl>
    <w:p>
      <w:pPr>
        <w:spacing w:after="0" w:line="360" w:lineRule="auto"/>
        <w:rPr>
          <w:rFonts w:ascii="宋体" w:hAnsi="宋体" w:eastAsia="宋体"/>
          <w:color w:val="auto"/>
          <w:sz w:val="21"/>
          <w:szCs w:val="21"/>
          <w:highlight w:val="none"/>
        </w:rPr>
      </w:pPr>
    </w:p>
    <w:p>
      <w:pPr>
        <w:spacing w:after="0" w:line="360" w:lineRule="auto"/>
        <w:ind w:firstLine="359" w:firstLineChars="171"/>
        <w:rPr>
          <w:rFonts w:ascii="宋体" w:hAnsi="宋体" w:eastAsia="宋体"/>
          <w:color w:val="auto"/>
          <w:sz w:val="21"/>
          <w:szCs w:val="21"/>
          <w:highlight w:val="none"/>
        </w:rPr>
      </w:pPr>
    </w:p>
    <w:p>
      <w:pPr>
        <w:spacing w:after="0" w:line="360" w:lineRule="auto"/>
        <w:ind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line="360" w:lineRule="auto"/>
        <w:ind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spacing w:after="0" w:line="360" w:lineRule="auto"/>
        <w:ind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日期：</w:t>
      </w:r>
    </w:p>
    <w:p>
      <w:pPr>
        <w:spacing w:after="0" w:line="360" w:lineRule="auto"/>
        <w:ind w:firstLine="359" w:firstLineChars="171"/>
        <w:rPr>
          <w:rFonts w:ascii="宋体" w:hAnsi="宋体" w:eastAsia="宋体"/>
          <w:color w:val="auto"/>
          <w:sz w:val="21"/>
          <w:szCs w:val="21"/>
          <w:highlight w:val="none"/>
        </w:rPr>
      </w:pPr>
    </w:p>
    <w:p>
      <w:pPr>
        <w:spacing w:after="0" w:line="360" w:lineRule="auto"/>
        <w:ind w:left="391" w:hanging="390" w:hangingChars="186"/>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注：1、此表应按投标人须知的规定密封标记并与《授权委托书》、《投标保证金汇入情况说明》同密封单独提交。</w:t>
      </w:r>
    </w:p>
    <w:p>
      <w:pPr>
        <w:spacing w:after="0" w:line="360" w:lineRule="auto"/>
        <w:ind w:left="374" w:leftChars="170"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lang w:val="en-US" w:eastAsia="zh-CN"/>
        </w:rPr>
        <w:t>2</w:t>
      </w:r>
      <w:r>
        <w:rPr>
          <w:rFonts w:hint="eastAsia" w:ascii="宋体" w:hAnsi="宋体" w:eastAsia="宋体"/>
          <w:color w:val="auto"/>
          <w:sz w:val="21"/>
          <w:szCs w:val="21"/>
          <w:highlight w:val="none"/>
        </w:rPr>
        <w:t>、未按招标文件要求报价、填写开标一览表是导致投标人废标的常见问题，请投标人仔细填写，认真核对。</w:t>
      </w:r>
    </w:p>
    <w:p>
      <w:pPr>
        <w:adjustRightInd/>
        <w:snapToGrid/>
        <w:spacing w:line="276" w:lineRule="auto"/>
        <w:rPr>
          <w:color w:val="auto"/>
          <w:highlight w:val="none"/>
        </w:rPr>
      </w:pPr>
    </w:p>
    <w:p>
      <w:pPr>
        <w:adjustRightInd/>
        <w:snapToGrid/>
        <w:spacing w:line="276" w:lineRule="auto"/>
        <w:rPr>
          <w:color w:val="auto"/>
          <w:highlight w:val="none"/>
        </w:rPr>
      </w:pPr>
      <w:r>
        <w:rPr>
          <w:color w:val="auto"/>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04" w:name="_Toc3254"/>
      <w:r>
        <w:rPr>
          <w:rFonts w:hint="eastAsia" w:ascii="宋体" w:hAnsi="宋体" w:eastAsia="宋体"/>
          <w:color w:val="auto"/>
          <w:sz w:val="21"/>
          <w:szCs w:val="21"/>
          <w:highlight w:val="none"/>
        </w:rPr>
        <w:t xml:space="preserve">附件4. </w:t>
      </w:r>
      <w:r>
        <w:rPr>
          <w:rFonts w:hint="eastAsia" w:ascii="宋体" w:hAnsi="宋体" w:eastAsia="宋体" w:cs="Times New Roman"/>
          <w:color w:val="auto"/>
          <w:sz w:val="21"/>
          <w:szCs w:val="21"/>
          <w:highlight w:val="none"/>
        </w:rPr>
        <w:t>投标分项报价表格式</w:t>
      </w:r>
      <w:bookmarkEnd w:id="104"/>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货物（服务）分项报价表</w:t>
      </w:r>
      <w:r>
        <w:rPr>
          <w:rFonts w:hint="eastAsia" w:ascii="宋体" w:hAnsi="宋体" w:eastAsia="宋体"/>
          <w:color w:val="auto"/>
          <w:sz w:val="21"/>
          <w:szCs w:val="21"/>
          <w:highlight w:val="none"/>
        </w:rPr>
        <w:t xml:space="preserve"> </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77"/>
        <w:gridCol w:w="1917"/>
        <w:gridCol w:w="1050"/>
        <w:gridCol w:w="1100"/>
        <w:gridCol w:w="118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1377"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货物（服务）名称</w:t>
            </w:r>
          </w:p>
        </w:tc>
        <w:tc>
          <w:tcPr>
            <w:tcW w:w="1917"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规格型号（服务内容）</w:t>
            </w:r>
          </w:p>
        </w:tc>
        <w:tc>
          <w:tcPr>
            <w:tcW w:w="1050"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数量</w:t>
            </w:r>
          </w:p>
        </w:tc>
        <w:tc>
          <w:tcPr>
            <w:tcW w:w="1100"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单价</w:t>
            </w:r>
          </w:p>
        </w:tc>
        <w:tc>
          <w:tcPr>
            <w:tcW w:w="1183"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服务要求</w:t>
            </w:r>
          </w:p>
        </w:tc>
        <w:tc>
          <w:tcPr>
            <w:tcW w:w="1078"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w:t>
            </w:r>
          </w:p>
        </w:tc>
        <w:tc>
          <w:tcPr>
            <w:tcW w:w="1377" w:type="dxa"/>
            <w:vAlign w:val="center"/>
          </w:tcPr>
          <w:p>
            <w:pPr>
              <w:spacing w:before="100" w:beforeAutospacing="1" w:after="100" w:afterAutospacing="1"/>
              <w:rPr>
                <w:rFonts w:ascii="宋体" w:hAnsi="宋体" w:eastAsia="宋体"/>
                <w:color w:val="auto"/>
                <w:sz w:val="21"/>
                <w:szCs w:val="21"/>
                <w:highlight w:val="none"/>
              </w:rPr>
            </w:pPr>
          </w:p>
        </w:tc>
        <w:tc>
          <w:tcPr>
            <w:tcW w:w="1917" w:type="dxa"/>
            <w:vAlign w:val="center"/>
          </w:tcPr>
          <w:p>
            <w:pPr>
              <w:spacing w:before="100" w:beforeAutospacing="1" w:after="100" w:afterAutospacing="1"/>
              <w:jc w:val="center"/>
              <w:rPr>
                <w:rFonts w:ascii="宋体" w:hAnsi="宋体" w:eastAsia="宋体"/>
                <w:color w:val="auto"/>
                <w:sz w:val="21"/>
                <w:szCs w:val="21"/>
                <w:highlight w:val="none"/>
              </w:rPr>
            </w:pPr>
          </w:p>
        </w:tc>
        <w:tc>
          <w:tcPr>
            <w:tcW w:w="1050" w:type="dxa"/>
            <w:vAlign w:val="center"/>
          </w:tcPr>
          <w:p>
            <w:pPr>
              <w:spacing w:before="100" w:beforeAutospacing="1" w:after="100" w:afterAutospacing="1"/>
              <w:jc w:val="center"/>
              <w:rPr>
                <w:rFonts w:ascii="宋体" w:hAnsi="宋体" w:eastAsia="宋体"/>
                <w:color w:val="auto"/>
                <w:sz w:val="21"/>
                <w:szCs w:val="21"/>
                <w:highlight w:val="none"/>
              </w:rPr>
            </w:pPr>
          </w:p>
        </w:tc>
        <w:tc>
          <w:tcPr>
            <w:tcW w:w="1100" w:type="dxa"/>
            <w:vAlign w:val="center"/>
          </w:tcPr>
          <w:p>
            <w:pPr>
              <w:spacing w:before="100" w:beforeAutospacing="1" w:after="100" w:afterAutospacing="1"/>
              <w:jc w:val="center"/>
              <w:rPr>
                <w:rFonts w:ascii="宋体" w:hAnsi="宋体" w:eastAsia="宋体"/>
                <w:color w:val="auto"/>
                <w:sz w:val="21"/>
                <w:szCs w:val="21"/>
                <w:highlight w:val="none"/>
              </w:rPr>
            </w:pPr>
          </w:p>
        </w:tc>
        <w:tc>
          <w:tcPr>
            <w:tcW w:w="1183" w:type="dxa"/>
            <w:vAlign w:val="center"/>
          </w:tcPr>
          <w:p>
            <w:pPr>
              <w:spacing w:before="100" w:beforeAutospacing="1" w:after="100" w:afterAutospacing="1"/>
              <w:jc w:val="center"/>
              <w:rPr>
                <w:rFonts w:ascii="宋体" w:hAnsi="宋体" w:eastAsia="宋体"/>
                <w:color w:val="auto"/>
                <w:sz w:val="21"/>
                <w:szCs w:val="21"/>
                <w:highlight w:val="none"/>
              </w:rPr>
            </w:pPr>
          </w:p>
        </w:tc>
        <w:tc>
          <w:tcPr>
            <w:tcW w:w="1078" w:type="dxa"/>
            <w:vAlign w:val="center"/>
          </w:tcPr>
          <w:p>
            <w:pPr>
              <w:spacing w:before="100" w:beforeAutospacing="1" w:after="100" w:afterAutospacing="1"/>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2</w:t>
            </w:r>
          </w:p>
        </w:tc>
        <w:tc>
          <w:tcPr>
            <w:tcW w:w="1377" w:type="dxa"/>
            <w:vAlign w:val="center"/>
          </w:tcPr>
          <w:p>
            <w:pPr>
              <w:spacing w:before="100" w:beforeAutospacing="1" w:after="100" w:afterAutospacing="1"/>
              <w:rPr>
                <w:rFonts w:ascii="宋体" w:hAnsi="宋体" w:eastAsia="宋体"/>
                <w:color w:val="auto"/>
                <w:sz w:val="21"/>
                <w:szCs w:val="21"/>
                <w:highlight w:val="none"/>
              </w:rPr>
            </w:pPr>
          </w:p>
        </w:tc>
        <w:tc>
          <w:tcPr>
            <w:tcW w:w="1917" w:type="dxa"/>
            <w:vAlign w:val="center"/>
          </w:tcPr>
          <w:p>
            <w:pPr>
              <w:spacing w:before="100" w:beforeAutospacing="1" w:after="100" w:afterAutospacing="1"/>
              <w:jc w:val="center"/>
              <w:rPr>
                <w:rFonts w:ascii="宋体" w:hAnsi="宋体" w:eastAsia="宋体"/>
                <w:color w:val="auto"/>
                <w:sz w:val="21"/>
                <w:szCs w:val="21"/>
                <w:highlight w:val="none"/>
              </w:rPr>
            </w:pPr>
          </w:p>
        </w:tc>
        <w:tc>
          <w:tcPr>
            <w:tcW w:w="1050" w:type="dxa"/>
            <w:vAlign w:val="center"/>
          </w:tcPr>
          <w:p>
            <w:pPr>
              <w:spacing w:before="100" w:beforeAutospacing="1" w:after="100" w:afterAutospacing="1"/>
              <w:jc w:val="center"/>
              <w:rPr>
                <w:rFonts w:ascii="宋体" w:hAnsi="宋体" w:eastAsia="宋体"/>
                <w:color w:val="auto"/>
                <w:sz w:val="21"/>
                <w:szCs w:val="21"/>
                <w:highlight w:val="none"/>
              </w:rPr>
            </w:pPr>
          </w:p>
        </w:tc>
        <w:tc>
          <w:tcPr>
            <w:tcW w:w="1100" w:type="dxa"/>
            <w:vAlign w:val="center"/>
          </w:tcPr>
          <w:p>
            <w:pPr>
              <w:spacing w:before="100" w:beforeAutospacing="1" w:after="100" w:afterAutospacing="1"/>
              <w:jc w:val="center"/>
              <w:rPr>
                <w:rFonts w:ascii="宋体" w:hAnsi="宋体" w:eastAsia="宋体"/>
                <w:color w:val="auto"/>
                <w:sz w:val="21"/>
                <w:szCs w:val="21"/>
                <w:highlight w:val="none"/>
              </w:rPr>
            </w:pPr>
          </w:p>
        </w:tc>
        <w:tc>
          <w:tcPr>
            <w:tcW w:w="1183" w:type="dxa"/>
            <w:vAlign w:val="center"/>
          </w:tcPr>
          <w:p>
            <w:pPr>
              <w:spacing w:before="100" w:beforeAutospacing="1" w:after="100" w:afterAutospacing="1"/>
              <w:jc w:val="center"/>
              <w:rPr>
                <w:rFonts w:ascii="宋体" w:hAnsi="宋体" w:eastAsia="宋体"/>
                <w:color w:val="auto"/>
                <w:sz w:val="21"/>
                <w:szCs w:val="21"/>
                <w:highlight w:val="none"/>
              </w:rPr>
            </w:pPr>
          </w:p>
        </w:tc>
        <w:tc>
          <w:tcPr>
            <w:tcW w:w="1078" w:type="dxa"/>
            <w:vAlign w:val="center"/>
          </w:tcPr>
          <w:p>
            <w:pPr>
              <w:spacing w:before="100" w:beforeAutospacing="1" w:after="100" w:afterAutospacing="1"/>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3</w:t>
            </w:r>
          </w:p>
        </w:tc>
        <w:tc>
          <w:tcPr>
            <w:tcW w:w="1377" w:type="dxa"/>
            <w:vAlign w:val="center"/>
          </w:tcPr>
          <w:p>
            <w:pPr>
              <w:spacing w:before="100" w:beforeAutospacing="1" w:after="100" w:afterAutospacing="1"/>
              <w:rPr>
                <w:rFonts w:ascii="宋体" w:hAnsi="宋体" w:eastAsia="宋体"/>
                <w:color w:val="auto"/>
                <w:sz w:val="21"/>
                <w:szCs w:val="21"/>
                <w:highlight w:val="none"/>
              </w:rPr>
            </w:pPr>
          </w:p>
        </w:tc>
        <w:tc>
          <w:tcPr>
            <w:tcW w:w="1917" w:type="dxa"/>
            <w:vAlign w:val="center"/>
          </w:tcPr>
          <w:p>
            <w:pPr>
              <w:spacing w:before="100" w:beforeAutospacing="1" w:after="100" w:afterAutospacing="1"/>
              <w:jc w:val="center"/>
              <w:rPr>
                <w:rFonts w:ascii="宋体" w:hAnsi="宋体" w:eastAsia="宋体"/>
                <w:color w:val="auto"/>
                <w:sz w:val="21"/>
                <w:szCs w:val="21"/>
                <w:highlight w:val="none"/>
              </w:rPr>
            </w:pPr>
          </w:p>
        </w:tc>
        <w:tc>
          <w:tcPr>
            <w:tcW w:w="1050" w:type="dxa"/>
            <w:vAlign w:val="center"/>
          </w:tcPr>
          <w:p>
            <w:pPr>
              <w:spacing w:before="100" w:beforeAutospacing="1" w:after="100" w:afterAutospacing="1"/>
              <w:jc w:val="center"/>
              <w:rPr>
                <w:rFonts w:ascii="宋体" w:hAnsi="宋体" w:eastAsia="宋体"/>
                <w:color w:val="auto"/>
                <w:sz w:val="21"/>
                <w:szCs w:val="21"/>
                <w:highlight w:val="none"/>
              </w:rPr>
            </w:pPr>
          </w:p>
        </w:tc>
        <w:tc>
          <w:tcPr>
            <w:tcW w:w="1100" w:type="dxa"/>
            <w:vAlign w:val="center"/>
          </w:tcPr>
          <w:p>
            <w:pPr>
              <w:spacing w:before="100" w:beforeAutospacing="1" w:after="100" w:afterAutospacing="1"/>
              <w:jc w:val="center"/>
              <w:rPr>
                <w:rFonts w:ascii="宋体" w:hAnsi="宋体" w:eastAsia="宋体"/>
                <w:color w:val="auto"/>
                <w:sz w:val="21"/>
                <w:szCs w:val="21"/>
                <w:highlight w:val="none"/>
              </w:rPr>
            </w:pPr>
          </w:p>
        </w:tc>
        <w:tc>
          <w:tcPr>
            <w:tcW w:w="1183" w:type="dxa"/>
            <w:vAlign w:val="center"/>
          </w:tcPr>
          <w:p>
            <w:pPr>
              <w:spacing w:before="100" w:beforeAutospacing="1" w:after="100" w:afterAutospacing="1"/>
              <w:jc w:val="center"/>
              <w:rPr>
                <w:rFonts w:ascii="宋体" w:hAnsi="宋体" w:eastAsia="宋体"/>
                <w:color w:val="auto"/>
                <w:sz w:val="21"/>
                <w:szCs w:val="21"/>
                <w:highlight w:val="none"/>
              </w:rPr>
            </w:pPr>
          </w:p>
        </w:tc>
        <w:tc>
          <w:tcPr>
            <w:tcW w:w="1078" w:type="dxa"/>
            <w:vAlign w:val="center"/>
          </w:tcPr>
          <w:p>
            <w:pPr>
              <w:spacing w:before="100" w:beforeAutospacing="1" w:after="100" w:afterAutospacing="1"/>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261" w:type="dxa"/>
            <w:gridSpan w:val="5"/>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总价</w:t>
            </w:r>
          </w:p>
        </w:tc>
        <w:tc>
          <w:tcPr>
            <w:tcW w:w="2261" w:type="dxa"/>
            <w:gridSpan w:val="2"/>
            <w:vAlign w:val="center"/>
          </w:tcPr>
          <w:p>
            <w:pPr>
              <w:spacing w:before="100" w:beforeAutospacing="1" w:after="100" w:afterAutospacing="1"/>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522" w:type="dxa"/>
            <w:gridSpan w:val="7"/>
            <w:vAlign w:val="center"/>
          </w:tcPr>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日期：</w:t>
            </w:r>
          </w:p>
        </w:tc>
      </w:tr>
    </w:tbl>
    <w:p>
      <w:pPr>
        <w:rPr>
          <w:rFonts w:ascii="宋体" w:hAnsi="宋体" w:eastAsia="宋体" w:cs="宋体"/>
          <w:b/>
          <w:color w:val="auto"/>
          <w:sz w:val="21"/>
          <w:szCs w:val="21"/>
          <w:highlight w:val="none"/>
        </w:rPr>
      </w:pPr>
    </w:p>
    <w:p>
      <w:pP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小型和微型企业（货物、承担的工程或者服务）列价表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587"/>
        <w:gridCol w:w="1575"/>
        <w:gridCol w:w="1180"/>
        <w:gridCol w:w="778"/>
        <w:gridCol w:w="777"/>
        <w:gridCol w:w="778"/>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587"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1575" w:type="dxa"/>
            <w:vAlign w:val="center"/>
          </w:tcPr>
          <w:p>
            <w:pPr>
              <w:spacing w:after="0"/>
              <w:ind w:hanging="148"/>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品牌及原产地</w:t>
            </w:r>
          </w:p>
        </w:tc>
        <w:tc>
          <w:tcPr>
            <w:tcW w:w="118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规格型号</w:t>
            </w:r>
          </w:p>
        </w:tc>
        <w:tc>
          <w:tcPr>
            <w:tcW w:w="778"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777"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单价</w:t>
            </w:r>
          </w:p>
        </w:tc>
        <w:tc>
          <w:tcPr>
            <w:tcW w:w="778"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总价</w:t>
            </w:r>
          </w:p>
        </w:tc>
        <w:tc>
          <w:tcPr>
            <w:tcW w:w="972"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462" w:type="dxa"/>
            <w:gridSpan w:val="2"/>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总计</w:t>
            </w:r>
          </w:p>
        </w:tc>
        <w:tc>
          <w:tcPr>
            <w:tcW w:w="6060" w:type="dxa"/>
            <w:gridSpan w:val="6"/>
            <w:vAlign w:val="center"/>
          </w:tcPr>
          <w:p>
            <w:pPr>
              <w:spacing w:after="0"/>
              <w:rPr>
                <w:rFonts w:ascii="宋体" w:hAnsi="宋体" w:eastAsia="宋体" w:cs="宋体"/>
                <w:color w:val="auto"/>
                <w:sz w:val="21"/>
                <w:szCs w:val="21"/>
                <w:highlight w:val="none"/>
              </w:rPr>
            </w:pPr>
            <w:r>
              <w:rPr>
                <w:rStyle w:val="34"/>
                <w:rFonts w:hint="eastAsia" w:ascii="宋体" w:hAnsi="宋体" w:eastAsia="宋体" w:cs="宋体"/>
                <w:color w:val="auto"/>
                <w:sz w:val="21"/>
                <w:szCs w:val="21"/>
                <w:highlight w:val="none"/>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spacing w:after="0"/>
              <w:rPr>
                <w:rStyle w:val="34"/>
                <w:rFonts w:ascii="宋体" w:hAnsi="宋体" w:eastAsia="宋体" w:cs="宋体"/>
                <w:b/>
                <w:color w:val="auto"/>
                <w:sz w:val="21"/>
                <w:szCs w:val="21"/>
                <w:highlight w:val="none"/>
              </w:rPr>
            </w:pPr>
            <w:r>
              <w:rPr>
                <w:rStyle w:val="34"/>
                <w:rFonts w:hint="eastAsia" w:ascii="宋体" w:hAnsi="宋体" w:eastAsia="宋体" w:cs="宋体"/>
                <w:b/>
                <w:color w:val="auto"/>
                <w:sz w:val="21"/>
                <w:szCs w:val="21"/>
                <w:highlight w:val="none"/>
              </w:rPr>
              <w:t>注：1、投标人在“货物（服务）分项报价表”中的报价内容中，如有属于</w:t>
            </w:r>
            <w:r>
              <w:rPr>
                <w:rFonts w:hint="eastAsia" w:ascii="宋体" w:hAnsi="宋体" w:eastAsia="宋体" w:cs="宋体"/>
                <w:b/>
                <w:color w:val="auto"/>
                <w:sz w:val="21"/>
                <w:szCs w:val="21"/>
                <w:highlight w:val="none"/>
              </w:rPr>
              <w:t>小型和微型企业产品（货物、承担的工程或者服务）的，必须在此表单独列明，否则在计算价格得分时不予以相应的扣除</w:t>
            </w:r>
            <w:r>
              <w:rPr>
                <w:rStyle w:val="34"/>
                <w:rFonts w:hint="eastAsia" w:ascii="宋体" w:hAnsi="宋体" w:eastAsia="宋体" w:cs="宋体"/>
                <w:b/>
                <w:color w:val="auto"/>
                <w:sz w:val="21"/>
                <w:szCs w:val="21"/>
                <w:highlight w:val="none"/>
              </w:rPr>
              <w:t>；</w:t>
            </w:r>
          </w:p>
          <w:p>
            <w:pPr>
              <w:tabs>
                <w:tab w:val="left" w:pos="284"/>
              </w:tabs>
              <w:spacing w:after="0"/>
              <w:rPr>
                <w:rStyle w:val="34"/>
                <w:rFonts w:ascii="宋体" w:hAnsi="宋体" w:eastAsia="宋体" w:cs="宋体"/>
                <w:b/>
                <w:color w:val="auto"/>
                <w:sz w:val="21"/>
                <w:szCs w:val="21"/>
                <w:highlight w:val="none"/>
              </w:rPr>
            </w:pPr>
            <w:r>
              <w:rPr>
                <w:rStyle w:val="34"/>
                <w:rFonts w:hint="eastAsia" w:ascii="宋体" w:hAnsi="宋体" w:eastAsia="宋体" w:cs="宋体"/>
                <w:b/>
                <w:color w:val="auto"/>
                <w:sz w:val="21"/>
                <w:szCs w:val="21"/>
                <w:highlight w:val="none"/>
              </w:rPr>
              <w:t>2、投标人应该如实填写，如投标人所投产品中无小型和微型企业产品的，请留空或删除此表！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tabs>
                <w:tab w:val="left" w:pos="284"/>
              </w:tabs>
              <w:spacing w:after="0"/>
              <w:rPr>
                <w:rStyle w:val="34"/>
                <w:rFonts w:ascii="宋体" w:hAnsi="宋体" w:eastAsia="宋体" w:cs="宋体"/>
                <w:b/>
                <w:color w:val="auto"/>
                <w:sz w:val="21"/>
                <w:szCs w:val="21"/>
                <w:highlight w:val="none"/>
              </w:rPr>
            </w:pPr>
            <w:r>
              <w:rPr>
                <w:rFonts w:hint="eastAsia" w:ascii="宋体" w:hAnsi="宋体" w:eastAsia="宋体"/>
                <w:color w:val="auto"/>
                <w:sz w:val="21"/>
                <w:szCs w:val="21"/>
                <w:highlight w:val="none"/>
              </w:rPr>
              <w:t>日期：</w:t>
            </w:r>
          </w:p>
        </w:tc>
      </w:tr>
    </w:tbl>
    <w:p>
      <w:pPr>
        <w:pStyle w:val="24"/>
        <w:spacing w:after="0" w:line="360" w:lineRule="auto"/>
        <w:ind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节能产品或环境标志产品列价表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81"/>
        <w:gridCol w:w="1316"/>
        <w:gridCol w:w="1067"/>
        <w:gridCol w:w="1150"/>
        <w:gridCol w:w="850"/>
        <w:gridCol w:w="83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381"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1316"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规格型号</w:t>
            </w:r>
          </w:p>
        </w:tc>
        <w:tc>
          <w:tcPr>
            <w:tcW w:w="1067"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115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单价</w:t>
            </w:r>
          </w:p>
        </w:tc>
        <w:tc>
          <w:tcPr>
            <w:tcW w:w="85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总价</w:t>
            </w:r>
          </w:p>
        </w:tc>
        <w:tc>
          <w:tcPr>
            <w:tcW w:w="833"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105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256" w:type="dxa"/>
            <w:gridSpan w:val="2"/>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总计</w:t>
            </w:r>
          </w:p>
        </w:tc>
        <w:tc>
          <w:tcPr>
            <w:tcW w:w="6266" w:type="dxa"/>
            <w:gridSpan w:val="6"/>
            <w:vAlign w:val="center"/>
          </w:tcPr>
          <w:p>
            <w:pPr>
              <w:spacing w:after="0"/>
              <w:rPr>
                <w:rFonts w:ascii="宋体" w:hAnsi="宋体" w:eastAsia="宋体" w:cs="宋体"/>
                <w:color w:val="auto"/>
                <w:sz w:val="21"/>
                <w:szCs w:val="21"/>
                <w:highlight w:val="none"/>
              </w:rPr>
            </w:pPr>
            <w:r>
              <w:rPr>
                <w:rStyle w:val="34"/>
                <w:rFonts w:hint="eastAsia" w:ascii="宋体" w:hAnsi="宋体" w:eastAsia="宋体" w:cs="宋体"/>
                <w:color w:val="auto"/>
                <w:sz w:val="21"/>
                <w:szCs w:val="21"/>
                <w:highlight w:val="none"/>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tabs>
                <w:tab w:val="left" w:pos="284"/>
              </w:tabs>
              <w:spacing w:after="0"/>
              <w:rPr>
                <w:rStyle w:val="34"/>
                <w:rFonts w:ascii="宋体" w:hAnsi="宋体" w:eastAsia="宋体" w:cs="宋体"/>
                <w:b/>
                <w:color w:val="auto"/>
                <w:sz w:val="21"/>
                <w:szCs w:val="21"/>
                <w:highlight w:val="none"/>
              </w:rPr>
            </w:pPr>
            <w:r>
              <w:rPr>
                <w:rStyle w:val="34"/>
                <w:rFonts w:hint="eastAsia" w:ascii="宋体" w:hAnsi="宋体" w:eastAsia="宋体" w:cs="宋体"/>
                <w:b/>
                <w:color w:val="auto"/>
                <w:sz w:val="21"/>
                <w:szCs w:val="21"/>
                <w:highlight w:val="none"/>
              </w:rPr>
              <w:t>注：1、投标人在“货物（服务）分项报价表”中的报价内容中，如有属于节能产品或环境标志产的，必须在此表单独列明且提供相应的证明材料，否则在计算价格得分时不予以相应的扣除；</w:t>
            </w:r>
          </w:p>
          <w:p>
            <w:pPr>
              <w:tabs>
                <w:tab w:val="left" w:pos="284"/>
              </w:tabs>
              <w:spacing w:after="0"/>
              <w:rPr>
                <w:rStyle w:val="34"/>
                <w:rFonts w:ascii="宋体" w:hAnsi="宋体" w:eastAsia="宋体" w:cs="宋体"/>
                <w:b/>
                <w:color w:val="auto"/>
                <w:sz w:val="21"/>
                <w:szCs w:val="21"/>
                <w:highlight w:val="none"/>
              </w:rPr>
            </w:pPr>
            <w:r>
              <w:rPr>
                <w:rStyle w:val="34"/>
                <w:rFonts w:hint="eastAsia" w:ascii="宋体" w:hAnsi="宋体" w:eastAsia="宋体" w:cs="宋体"/>
                <w:b/>
                <w:color w:val="auto"/>
                <w:sz w:val="21"/>
                <w:szCs w:val="21"/>
                <w:highlight w:val="none"/>
              </w:rPr>
              <w:t>2、投标人应该如实填写，如投标人所投产品中无节能或环保产品的，请留空或删除此表！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tabs>
                <w:tab w:val="left" w:pos="284"/>
              </w:tabs>
              <w:spacing w:after="0"/>
              <w:rPr>
                <w:rStyle w:val="34"/>
                <w:rFonts w:ascii="宋体" w:hAnsi="宋体" w:eastAsia="宋体" w:cs="宋体"/>
                <w:b/>
                <w:color w:val="auto"/>
                <w:sz w:val="21"/>
                <w:szCs w:val="21"/>
                <w:highlight w:val="none"/>
              </w:rPr>
            </w:pPr>
            <w:r>
              <w:rPr>
                <w:rFonts w:hint="eastAsia" w:ascii="宋体" w:hAnsi="宋体" w:eastAsia="宋体"/>
                <w:color w:val="auto"/>
                <w:sz w:val="21"/>
                <w:szCs w:val="21"/>
                <w:highlight w:val="none"/>
              </w:rPr>
              <w:t>日期：</w:t>
            </w:r>
          </w:p>
        </w:tc>
      </w:tr>
    </w:tbl>
    <w:p>
      <w:pPr>
        <w:jc w:val="both"/>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05" w:name="_Toc16412"/>
      <w:r>
        <w:rPr>
          <w:rFonts w:hint="eastAsia" w:ascii="宋体" w:hAnsi="宋体" w:eastAsia="宋体"/>
          <w:color w:val="auto"/>
          <w:sz w:val="21"/>
          <w:szCs w:val="21"/>
          <w:highlight w:val="none"/>
        </w:rPr>
        <w:t>附件5. 法定代表人证明书格式</w:t>
      </w:r>
      <w:bookmarkEnd w:id="105"/>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法定代表人证明书</w:t>
      </w:r>
    </w:p>
    <w:p>
      <w:pPr>
        <w:pStyle w:val="27"/>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rPr>
        <w:t>致：广东三方诚信招标有限公司东莞分公司</w:t>
      </w:r>
    </w:p>
    <w:p>
      <w:pPr>
        <w:pStyle w:val="27"/>
        <w:spacing w:line="420" w:lineRule="atLeast"/>
        <w:ind w:firstLine="433"/>
        <w:rPr>
          <w:rFonts w:ascii="宋体" w:eastAsia="宋体"/>
          <w:color w:val="auto"/>
          <w:sz w:val="21"/>
          <w:szCs w:val="21"/>
          <w:highlight w:val="none"/>
        </w:rPr>
      </w:pPr>
    </w:p>
    <w:p>
      <w:pPr>
        <w:pStyle w:val="27"/>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投标人名称:</w:t>
      </w:r>
    </w:p>
    <w:p>
      <w:pPr>
        <w:pStyle w:val="27"/>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单 位 性质：</w:t>
      </w:r>
    </w:p>
    <w:p>
      <w:pPr>
        <w:pStyle w:val="27"/>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地      址：</w:t>
      </w:r>
    </w:p>
    <w:p>
      <w:pPr>
        <w:pStyle w:val="27"/>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成 立 时间：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pStyle w:val="27"/>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经 营 期限：</w:t>
      </w:r>
      <w:r>
        <w:rPr>
          <w:rFonts w:hint="eastAsia" w:ascii="宋体" w:eastAsia="宋体"/>
          <w:color w:val="auto"/>
          <w:sz w:val="21"/>
          <w:szCs w:val="21"/>
          <w:highlight w:val="none"/>
          <w:u w:val="single"/>
        </w:rPr>
        <w:t xml:space="preserve">                                      </w:t>
      </w:r>
    </w:p>
    <w:p>
      <w:pPr>
        <w:pStyle w:val="27"/>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姓名：</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性别：</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年龄：</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职务：</w:t>
      </w:r>
      <w:r>
        <w:rPr>
          <w:rFonts w:hint="eastAsia" w:ascii="宋体" w:eastAsia="宋体"/>
          <w:color w:val="auto"/>
          <w:sz w:val="21"/>
          <w:szCs w:val="21"/>
          <w:highlight w:val="none"/>
          <w:u w:val="single"/>
        </w:rPr>
        <w:t xml:space="preserve">            </w:t>
      </w:r>
    </w:p>
    <w:p>
      <w:pPr>
        <w:pStyle w:val="27"/>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系</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（投标人名称）的法定代表人。</w:t>
      </w:r>
    </w:p>
    <w:p>
      <w:pPr>
        <w:spacing w:line="420" w:lineRule="atLeas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特此证明。</w:t>
      </w:r>
    </w:p>
    <w:p>
      <w:pPr>
        <w:pStyle w:val="27"/>
        <w:spacing w:line="500" w:lineRule="atLeast"/>
        <w:ind w:firstLine="3517" w:firstLineChars="1675"/>
        <w:rPr>
          <w:rFonts w:ascii="宋体" w:eastAsia="宋体"/>
          <w:color w:val="auto"/>
          <w:sz w:val="21"/>
          <w:szCs w:val="21"/>
          <w:highlight w:val="none"/>
        </w:rPr>
      </w:pP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投标人名称（加盖公章）：</w:t>
      </w:r>
      <w:r>
        <w:rPr>
          <w:rFonts w:hint="eastAsia" w:ascii="宋体" w:eastAsia="宋体"/>
          <w:color w:val="auto"/>
          <w:sz w:val="21"/>
          <w:szCs w:val="21"/>
          <w:highlight w:val="none"/>
          <w:u w:val="single"/>
        </w:rPr>
        <w:t xml:space="preserve">                  </w:t>
      </w: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r>
        <w:rPr>
          <w:rFonts w:hint="eastAsia" w:ascii="宋体" w:eastAsia="宋体"/>
          <w:color w:val="auto"/>
          <w:sz w:val="21"/>
          <w:szCs w:val="21"/>
          <w:highlight w:val="none"/>
          <w:u w:val="single"/>
        </w:rPr>
        <w:t xml:space="preserve">               </w:t>
      </w: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法定代表人联系方式：</w:t>
      </w:r>
    </w:p>
    <w:p>
      <w:pPr>
        <w:pStyle w:val="27"/>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r>
        <w:rPr>
          <w:rFonts w:hint="eastAsia" w:ascii="宋体" w:eastAsia="宋体"/>
          <w:color w:val="auto"/>
          <w:sz w:val="21"/>
          <w:szCs w:val="21"/>
          <w:highlight w:val="none"/>
          <w:u w:val="single"/>
        </w:rPr>
        <w:t xml:space="preserve">                              </w:t>
      </w:r>
    </w:p>
    <w:p>
      <w:pPr>
        <w:pStyle w:val="27"/>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ind w:firstLine="420" w:firstLineChars="200"/>
        <w:rPr>
          <w:rFonts w:ascii="宋体" w:hAnsi="宋体" w:eastAsia="宋体"/>
          <w:color w:val="auto"/>
          <w:sz w:val="21"/>
          <w:szCs w:val="21"/>
          <w:highlight w:val="none"/>
        </w:rPr>
      </w:pPr>
    </w:p>
    <w:p>
      <w:pPr>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注：法定代表人身份证明书需附法人代表身份证复印件。</w:t>
      </w:r>
    </w:p>
    <w:tbl>
      <w:tblPr>
        <w:tblStyle w:val="16"/>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27"/>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正面</w:t>
            </w:r>
          </w:p>
        </w:tc>
        <w:tc>
          <w:tcPr>
            <w:tcW w:w="4182" w:type="dxa"/>
            <w:vAlign w:val="center"/>
          </w:tcPr>
          <w:p>
            <w:pPr>
              <w:pStyle w:val="27"/>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背面</w:t>
            </w:r>
          </w:p>
        </w:tc>
      </w:tr>
    </w:tbl>
    <w:p>
      <w:pPr>
        <w:rPr>
          <w:color w:val="auto"/>
          <w:highlight w:val="none"/>
        </w:rPr>
      </w:pPr>
    </w:p>
    <w:p>
      <w:pPr>
        <w:adjustRightInd/>
        <w:snapToGrid/>
        <w:spacing w:line="276" w:lineRule="auto"/>
        <w:rPr>
          <w:rFonts w:ascii="楷体_GB2312" w:eastAsia="楷体_GB2312" w:hAnsiTheme="majorHAnsi" w:cstheme="majorBidi"/>
          <w:b/>
          <w:bCs/>
          <w:color w:val="auto"/>
          <w:sz w:val="24"/>
          <w:szCs w:val="28"/>
          <w:highlight w:val="none"/>
        </w:rPr>
      </w:pPr>
      <w:r>
        <w:rPr>
          <w:rFonts w:ascii="楷体_GB2312" w:eastAsia="楷体_GB2312"/>
          <w:color w:val="auto"/>
          <w:sz w:val="24"/>
          <w:highlight w:val="none"/>
        </w:rPr>
        <w:br w:type="page"/>
      </w:r>
    </w:p>
    <w:p>
      <w:pPr>
        <w:pStyle w:val="5"/>
        <w:widowControl w:val="0"/>
        <w:overflowPunct w:val="0"/>
        <w:spacing w:before="0" w:after="0" w:line="240" w:lineRule="auto"/>
        <w:rPr>
          <w:color w:val="auto"/>
          <w:highlight w:val="none"/>
        </w:rPr>
      </w:pPr>
      <w:bookmarkStart w:id="106" w:name="_Toc31205"/>
      <w:r>
        <w:rPr>
          <w:rFonts w:hint="eastAsia" w:ascii="宋体" w:hAnsi="宋体" w:eastAsia="宋体"/>
          <w:color w:val="auto"/>
          <w:sz w:val="21"/>
          <w:szCs w:val="21"/>
          <w:highlight w:val="none"/>
        </w:rPr>
        <w:t>附件6.法定代表人授权书格式</w:t>
      </w:r>
      <w:bookmarkEnd w:id="106"/>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法定代表人授权书</w:t>
      </w:r>
    </w:p>
    <w:p>
      <w:pPr>
        <w:pStyle w:val="27"/>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rPr>
        <w:t>致：广东三方诚信招标有限公司东莞分公司</w:t>
      </w:r>
    </w:p>
    <w:p>
      <w:pPr>
        <w:pStyle w:val="27"/>
        <w:spacing w:line="420" w:lineRule="atLeast"/>
        <w:ind w:firstLine="433"/>
        <w:rPr>
          <w:rFonts w:ascii="宋体" w:eastAsia="宋体"/>
          <w:color w:val="auto"/>
          <w:sz w:val="21"/>
          <w:szCs w:val="21"/>
          <w:highlight w:val="none"/>
        </w:rPr>
      </w:pPr>
    </w:p>
    <w:p>
      <w:pPr>
        <w:spacing w:after="0" w:line="360" w:lineRule="auto"/>
        <w:ind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本授权书声明：注册于</w:t>
      </w:r>
      <w:r>
        <w:rPr>
          <w:rFonts w:hint="eastAsia" w:ascii="宋体" w:hAnsi="宋体" w:eastAsia="宋体" w:cs="Times New Roman"/>
          <w:color w:val="auto"/>
          <w:sz w:val="21"/>
          <w:szCs w:val="21"/>
          <w:highlight w:val="none"/>
          <w:u w:val="single"/>
        </w:rPr>
        <w:t>（国家或地区的名称）</w:t>
      </w:r>
      <w:r>
        <w:rPr>
          <w:rFonts w:hint="eastAsia" w:ascii="宋体" w:hAnsi="宋体" w:eastAsia="宋体" w:cs="Times New Roman"/>
          <w:color w:val="auto"/>
          <w:sz w:val="21"/>
          <w:szCs w:val="21"/>
          <w:highlight w:val="none"/>
        </w:rPr>
        <w:t>的</w:t>
      </w:r>
      <w:r>
        <w:rPr>
          <w:rFonts w:hint="eastAsia" w:ascii="宋体" w:hAnsi="宋体" w:eastAsia="宋体" w:cs="Times New Roman"/>
          <w:color w:val="auto"/>
          <w:sz w:val="21"/>
          <w:szCs w:val="21"/>
          <w:highlight w:val="none"/>
          <w:u w:val="single"/>
        </w:rPr>
        <w:t>（单位名称）</w:t>
      </w:r>
      <w:r>
        <w:rPr>
          <w:rFonts w:hint="eastAsia" w:ascii="宋体" w:hAnsi="宋体" w:eastAsia="宋体" w:cs="Times New Roman"/>
          <w:color w:val="auto"/>
          <w:sz w:val="21"/>
          <w:szCs w:val="21"/>
          <w:highlight w:val="none"/>
        </w:rPr>
        <w:t>的在下面签字的</w:t>
      </w:r>
      <w:r>
        <w:rPr>
          <w:rFonts w:hint="eastAsia" w:ascii="宋体" w:hAnsi="宋体" w:eastAsia="宋体" w:cs="Times New Roman"/>
          <w:color w:val="auto"/>
          <w:sz w:val="21"/>
          <w:szCs w:val="21"/>
          <w:highlight w:val="none"/>
          <w:u w:val="single"/>
        </w:rPr>
        <w:t>（法定代表人姓名、职务）</w:t>
      </w:r>
      <w:r>
        <w:rPr>
          <w:rFonts w:hint="eastAsia" w:ascii="宋体" w:hAnsi="宋体" w:eastAsia="宋体" w:cs="Times New Roman"/>
          <w:color w:val="auto"/>
          <w:sz w:val="21"/>
          <w:szCs w:val="21"/>
          <w:highlight w:val="none"/>
        </w:rPr>
        <w:t>代表本单位授权</w:t>
      </w:r>
      <w:r>
        <w:rPr>
          <w:rFonts w:hint="eastAsia" w:ascii="宋体" w:hAnsi="宋体" w:eastAsia="宋体" w:cs="Times New Roman"/>
          <w:color w:val="auto"/>
          <w:sz w:val="21"/>
          <w:szCs w:val="21"/>
          <w:highlight w:val="none"/>
          <w:u w:val="single"/>
        </w:rPr>
        <w:t>（单位名称）</w:t>
      </w:r>
      <w:r>
        <w:rPr>
          <w:rFonts w:hint="eastAsia" w:ascii="宋体" w:hAnsi="宋体" w:eastAsia="宋体" w:cs="Times New Roman"/>
          <w:color w:val="auto"/>
          <w:sz w:val="21"/>
          <w:szCs w:val="21"/>
          <w:highlight w:val="none"/>
        </w:rPr>
        <w:t>的在下面签字的</w:t>
      </w:r>
      <w:r>
        <w:rPr>
          <w:rFonts w:hint="eastAsia" w:ascii="宋体" w:hAnsi="宋体" w:eastAsia="宋体" w:cs="Times New Roman"/>
          <w:color w:val="auto"/>
          <w:sz w:val="21"/>
          <w:szCs w:val="21"/>
          <w:highlight w:val="none"/>
          <w:u w:val="single"/>
        </w:rPr>
        <w:t>（被授权人的姓名、职务）</w:t>
      </w:r>
      <w:r>
        <w:rPr>
          <w:rFonts w:hint="eastAsia" w:ascii="宋体" w:hAnsi="宋体" w:eastAsia="宋体" w:cs="Times New Roman"/>
          <w:color w:val="auto"/>
          <w:sz w:val="21"/>
          <w:szCs w:val="21"/>
          <w:highlight w:val="none"/>
        </w:rPr>
        <w:t>为本单位的合法代理人，就</w:t>
      </w:r>
      <w:r>
        <w:rPr>
          <w:rFonts w:hint="eastAsia" w:ascii="宋体" w:hAnsi="宋体" w:eastAsia="宋体" w:cs="Times New Roman"/>
          <w:color w:val="auto"/>
          <w:sz w:val="21"/>
          <w:szCs w:val="21"/>
          <w:highlight w:val="none"/>
          <w:u w:val="single"/>
        </w:rPr>
        <w:t>（项目名称）</w:t>
      </w:r>
      <w:r>
        <w:rPr>
          <w:rFonts w:hint="eastAsia" w:ascii="宋体" w:hAnsi="宋体" w:eastAsia="宋体" w:cs="Times New Roman"/>
          <w:color w:val="auto"/>
          <w:sz w:val="21"/>
          <w:szCs w:val="21"/>
          <w:highlight w:val="none"/>
        </w:rPr>
        <w:t>投标及参加项目谈判，以本单位名义处理一切与之有关的事务。</w:t>
      </w:r>
    </w:p>
    <w:p>
      <w:pPr>
        <w:spacing w:after="0" w:line="360" w:lineRule="auto"/>
        <w:ind w:firstLine="315" w:firstLineChars="15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本授权书于</w:t>
      </w:r>
      <w:r>
        <w:rPr>
          <w:rFonts w:hint="eastAsia" w:ascii="宋体" w:hAnsi="宋体" w:eastAsia="宋体" w:cs="Times New Roman"/>
          <w:color w:val="auto"/>
          <w:sz w:val="21"/>
          <w:szCs w:val="21"/>
          <w:highlight w:val="none"/>
          <w:u w:val="single"/>
        </w:rPr>
        <w:t>　　</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u w:val="single"/>
        </w:rPr>
        <w:t>　　</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u w:val="single"/>
        </w:rPr>
        <w:t>　　</w:t>
      </w:r>
      <w:r>
        <w:rPr>
          <w:rFonts w:hint="eastAsia" w:ascii="宋体" w:hAnsi="宋体" w:eastAsia="宋体" w:cs="Times New Roman"/>
          <w:color w:val="auto"/>
          <w:sz w:val="21"/>
          <w:szCs w:val="21"/>
          <w:highlight w:val="none"/>
        </w:rPr>
        <w:t>日签字生效，特此声明。</w:t>
      </w:r>
    </w:p>
    <w:p>
      <w:pPr>
        <w:pStyle w:val="27"/>
        <w:spacing w:line="500" w:lineRule="atLeast"/>
        <w:ind w:firstLine="3517" w:firstLineChars="1675"/>
        <w:rPr>
          <w:rFonts w:ascii="宋体" w:eastAsia="宋体"/>
          <w:color w:val="auto"/>
          <w:sz w:val="21"/>
          <w:szCs w:val="21"/>
          <w:highlight w:val="none"/>
        </w:rPr>
      </w:pP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投标人名称（加盖公章）：</w:t>
      </w:r>
      <w:r>
        <w:rPr>
          <w:rFonts w:hint="eastAsia" w:ascii="宋体" w:eastAsia="宋体"/>
          <w:color w:val="auto"/>
          <w:sz w:val="21"/>
          <w:szCs w:val="21"/>
          <w:highlight w:val="none"/>
          <w:u w:val="single"/>
        </w:rPr>
        <w:t xml:space="preserve">                 </w:t>
      </w:r>
    </w:p>
    <w:p>
      <w:pPr>
        <w:pStyle w:val="27"/>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法定代表人签字（签名或盖私章）：</w:t>
      </w:r>
      <w:r>
        <w:rPr>
          <w:rFonts w:hint="eastAsia" w:ascii="宋体" w:eastAsia="宋体"/>
          <w:color w:val="auto"/>
          <w:sz w:val="21"/>
          <w:szCs w:val="21"/>
          <w:highlight w:val="none"/>
          <w:u w:val="single"/>
        </w:rPr>
        <w:t xml:space="preserve">               </w:t>
      </w: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被授权人签字：</w:t>
      </w:r>
    </w:p>
    <w:p>
      <w:pPr>
        <w:pStyle w:val="27"/>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职务：</w:t>
      </w:r>
      <w:r>
        <w:rPr>
          <w:rFonts w:hint="eastAsia" w:ascii="宋体" w:eastAsia="宋体"/>
          <w:color w:val="auto"/>
          <w:sz w:val="21"/>
          <w:szCs w:val="21"/>
          <w:highlight w:val="none"/>
          <w:u w:val="single"/>
        </w:rPr>
        <w:t xml:space="preserve">   </w:t>
      </w: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 xml:space="preserve">移动电话： </w:t>
      </w: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详细通讯地址：</w:t>
      </w: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 xml:space="preserve">邮箱：                          </w:t>
      </w:r>
    </w:p>
    <w:p>
      <w:pPr>
        <w:pStyle w:val="27"/>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pStyle w:val="27"/>
        <w:spacing w:line="460" w:lineRule="exact"/>
        <w:ind w:firstLine="433"/>
        <w:rPr>
          <w:rFonts w:ascii="宋体" w:eastAsia="宋体"/>
          <w:color w:val="auto"/>
          <w:sz w:val="21"/>
          <w:szCs w:val="21"/>
          <w:highlight w:val="none"/>
        </w:rPr>
      </w:pPr>
    </w:p>
    <w:p>
      <w:pPr>
        <w:ind w:firstLine="420" w:firstLineChars="200"/>
        <w:rPr>
          <w:rFonts w:eastAsia="宋体"/>
          <w:color w:val="auto"/>
          <w:highlight w:val="none"/>
        </w:rPr>
      </w:pPr>
      <w:r>
        <w:rPr>
          <w:rFonts w:hint="eastAsia" w:ascii="宋体" w:hAnsi="宋体" w:eastAsia="宋体"/>
          <w:color w:val="auto"/>
          <w:sz w:val="21"/>
          <w:szCs w:val="21"/>
          <w:highlight w:val="none"/>
        </w:rPr>
        <w:t>须附：被授权人身份证复印件。</w:t>
      </w:r>
    </w:p>
    <w:tbl>
      <w:tblPr>
        <w:tblStyle w:val="16"/>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27"/>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正面</w:t>
            </w:r>
          </w:p>
        </w:tc>
        <w:tc>
          <w:tcPr>
            <w:tcW w:w="4232" w:type="dxa"/>
            <w:vAlign w:val="center"/>
          </w:tcPr>
          <w:p>
            <w:pPr>
              <w:pStyle w:val="27"/>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背面</w:t>
            </w:r>
          </w:p>
        </w:tc>
      </w:tr>
    </w:tbl>
    <w:p>
      <w:pPr>
        <w:adjustRightInd/>
        <w:snapToGrid/>
        <w:spacing w:line="276" w:lineRule="auto"/>
        <w:rPr>
          <w:color w:val="auto"/>
          <w:highlight w:val="none"/>
        </w:rPr>
      </w:pPr>
      <w:bookmarkStart w:id="107" w:name="_Toc22486"/>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08" w:name="_Toc17164"/>
      <w:r>
        <w:rPr>
          <w:rFonts w:hint="eastAsia" w:ascii="宋体" w:hAnsi="宋体" w:eastAsia="宋体"/>
          <w:color w:val="auto"/>
          <w:sz w:val="21"/>
          <w:szCs w:val="21"/>
          <w:highlight w:val="none"/>
        </w:rPr>
        <w:t>附件7.资格申明</w:t>
      </w:r>
      <w:bookmarkEnd w:id="108"/>
    </w:p>
    <w:p>
      <w:pPr>
        <w:jc w:val="center"/>
        <w:rPr>
          <w:rFonts w:ascii="黑体" w:eastAsia="黑体"/>
          <w:color w:val="auto"/>
          <w:sz w:val="28"/>
          <w:szCs w:val="28"/>
          <w:highlight w:val="none"/>
        </w:rPr>
      </w:pPr>
      <w:r>
        <w:rPr>
          <w:rFonts w:hint="eastAsia" w:ascii="黑体" w:eastAsia="黑体"/>
          <w:color w:val="auto"/>
          <w:sz w:val="28"/>
          <w:szCs w:val="28"/>
          <w:highlight w:val="none"/>
        </w:rPr>
        <w:t>资格申明</w:t>
      </w:r>
    </w:p>
    <w:p>
      <w:pPr>
        <w:pStyle w:val="27"/>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rPr>
        <w:t>广东三方诚信招标有限公司东莞分公司：</w:t>
      </w:r>
    </w:p>
    <w:p>
      <w:pPr>
        <w:spacing w:after="0" w:line="360" w:lineRule="auto"/>
        <w:ind w:firstLine="420" w:firstLineChars="200"/>
        <w:rPr>
          <w:rFonts w:ascii="宋体" w:hAnsi="宋体" w:eastAsia="宋体"/>
          <w:color w:val="auto"/>
          <w:sz w:val="21"/>
          <w:szCs w:val="21"/>
          <w:highlight w:val="none"/>
        </w:rPr>
      </w:pP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我方</w:t>
      </w:r>
      <w:r>
        <w:rPr>
          <w:rFonts w:ascii="宋体" w:hAnsi="宋体" w:eastAsia="宋体"/>
          <w:color w:val="auto"/>
          <w:sz w:val="21"/>
          <w:szCs w:val="21"/>
          <w:highlight w:val="none"/>
        </w:rPr>
        <w:t>愿响应</w:t>
      </w:r>
      <w:r>
        <w:rPr>
          <w:rFonts w:hint="eastAsia" w:ascii="宋体" w:hAnsi="宋体" w:eastAsia="宋体"/>
          <w:color w:val="auto"/>
          <w:sz w:val="21"/>
          <w:szCs w:val="21"/>
          <w:highlight w:val="none"/>
        </w:rPr>
        <w:t>贵</w:t>
      </w:r>
      <w:r>
        <w:rPr>
          <w:rFonts w:ascii="宋体" w:hAnsi="宋体" w:eastAsia="宋体"/>
          <w:color w:val="auto"/>
          <w:sz w:val="21"/>
          <w:szCs w:val="21"/>
          <w:highlight w:val="none"/>
        </w:rPr>
        <w:t>方</w:t>
      </w:r>
      <w:r>
        <w:rPr>
          <w:rFonts w:hint="eastAsia" w:ascii="宋体" w:hAnsi="宋体" w:eastAsia="宋体"/>
          <w:color w:val="auto"/>
          <w:sz w:val="21"/>
          <w:szCs w:val="21"/>
          <w:highlight w:val="none"/>
        </w:rPr>
        <w:t>关于（项目名称）</w:t>
      </w:r>
      <w:r>
        <w:rPr>
          <w:rFonts w:ascii="宋体" w:hAnsi="宋体" w:eastAsia="宋体"/>
          <w:color w:val="auto"/>
          <w:sz w:val="21"/>
          <w:szCs w:val="21"/>
          <w:highlight w:val="none"/>
        </w:rPr>
        <w:t>（</w:t>
      </w:r>
      <w:r>
        <w:rPr>
          <w:rFonts w:hint="eastAsia" w:ascii="宋体" w:hAnsi="宋体" w:eastAsia="宋体"/>
          <w:color w:val="auto"/>
          <w:sz w:val="21"/>
          <w:szCs w:val="21"/>
          <w:highlight w:val="none"/>
        </w:rPr>
        <w:t>采购项目编号</w:t>
      </w:r>
      <w:r>
        <w:rPr>
          <w:rFonts w:ascii="宋体" w:hAnsi="宋体" w:eastAsia="宋体"/>
          <w:color w:val="auto"/>
          <w:sz w:val="21"/>
          <w:szCs w:val="21"/>
          <w:highlight w:val="none"/>
        </w:rPr>
        <w:t>）</w:t>
      </w:r>
      <w:r>
        <w:rPr>
          <w:rFonts w:hint="eastAsia" w:ascii="宋体" w:hAnsi="宋体" w:eastAsia="宋体"/>
          <w:color w:val="auto"/>
          <w:sz w:val="21"/>
          <w:szCs w:val="21"/>
          <w:highlight w:val="none"/>
        </w:rPr>
        <w:t>的</w:t>
      </w:r>
      <w:r>
        <w:rPr>
          <w:rFonts w:ascii="宋体" w:hAnsi="宋体" w:eastAsia="宋体"/>
          <w:color w:val="auto"/>
          <w:sz w:val="21"/>
          <w:szCs w:val="21"/>
          <w:highlight w:val="none"/>
        </w:rPr>
        <w:t>投标邀请，参与投标，提供用户需求书中规定的</w:t>
      </w:r>
      <w:r>
        <w:rPr>
          <w:rFonts w:hint="eastAsia" w:ascii="宋体" w:hAnsi="宋体" w:eastAsia="宋体"/>
          <w:color w:val="auto"/>
          <w:sz w:val="21"/>
          <w:szCs w:val="21"/>
          <w:highlight w:val="none"/>
        </w:rPr>
        <w:t>货物及相关服务</w:t>
      </w:r>
      <w:r>
        <w:rPr>
          <w:rFonts w:ascii="宋体" w:hAnsi="宋体" w:eastAsia="宋体"/>
          <w:color w:val="auto"/>
          <w:sz w:val="21"/>
          <w:szCs w:val="21"/>
          <w:highlight w:val="none"/>
        </w:rPr>
        <w:t>，并按招标文件要求提交所附资格文件且声明和保证如下：</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一、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二、</w:t>
      </w:r>
      <w:r>
        <w:rPr>
          <w:rFonts w:ascii="宋体" w:hAnsi="宋体" w:eastAsia="宋体"/>
          <w:color w:val="auto"/>
          <w:sz w:val="21"/>
          <w:szCs w:val="21"/>
          <w:highlight w:val="none"/>
        </w:rPr>
        <w:t>我方依法注册，在法律上、财务上和运作上完全独立于（采购人名称）（采购人）及</w:t>
      </w:r>
      <w:r>
        <w:rPr>
          <w:rFonts w:hint="eastAsia" w:ascii="宋体" w:hAnsi="宋体" w:eastAsia="宋体"/>
          <w:color w:val="auto"/>
          <w:sz w:val="21"/>
          <w:szCs w:val="21"/>
          <w:highlight w:val="none"/>
        </w:rPr>
        <w:t>广东三方诚信招标有限公司东莞分公司</w:t>
      </w:r>
      <w:r>
        <w:rPr>
          <w:rFonts w:ascii="宋体" w:hAnsi="宋体" w:eastAsia="宋体"/>
          <w:color w:val="auto"/>
          <w:sz w:val="21"/>
          <w:szCs w:val="21"/>
          <w:highlight w:val="none"/>
        </w:rPr>
        <w:t>（采购代理机构）</w:t>
      </w:r>
      <w:r>
        <w:rPr>
          <w:rFonts w:hint="eastAsia" w:ascii="宋体" w:hAnsi="宋体" w:eastAsia="宋体"/>
          <w:color w:val="auto"/>
          <w:sz w:val="21"/>
          <w:szCs w:val="21"/>
          <w:highlight w:val="none"/>
        </w:rPr>
        <w:t>。</w:t>
      </w:r>
    </w:p>
    <w:p>
      <w:pPr>
        <w:pStyle w:val="27"/>
        <w:spacing w:line="500" w:lineRule="atLeast"/>
        <w:ind w:firstLine="3517" w:firstLineChars="1675"/>
        <w:rPr>
          <w:rFonts w:ascii="宋体" w:eastAsia="宋体"/>
          <w:color w:val="auto"/>
          <w:sz w:val="21"/>
          <w:szCs w:val="21"/>
          <w:highlight w:val="none"/>
        </w:rPr>
      </w:pPr>
    </w:p>
    <w:p>
      <w:pPr>
        <w:pStyle w:val="27"/>
        <w:spacing w:line="500" w:lineRule="atLeast"/>
        <w:ind w:firstLine="3517" w:firstLineChars="1675"/>
        <w:rPr>
          <w:rFonts w:ascii="宋体" w:eastAsia="宋体"/>
          <w:color w:val="auto"/>
          <w:sz w:val="21"/>
          <w:szCs w:val="21"/>
          <w:highlight w:val="none"/>
        </w:rPr>
      </w:pPr>
    </w:p>
    <w:p>
      <w:pPr>
        <w:pStyle w:val="27"/>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投标人名称（加盖公章）：</w:t>
      </w:r>
      <w:r>
        <w:rPr>
          <w:rFonts w:hint="eastAsia" w:ascii="宋体" w:eastAsia="宋体"/>
          <w:color w:val="auto"/>
          <w:sz w:val="21"/>
          <w:szCs w:val="21"/>
          <w:highlight w:val="none"/>
          <w:u w:val="single"/>
        </w:rPr>
        <w:t xml:space="preserve">                 </w:t>
      </w:r>
    </w:p>
    <w:p>
      <w:pPr>
        <w:pStyle w:val="27"/>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法定代表人签字（签名或盖私章）：</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 xml:space="preserve">                        </w:t>
      </w:r>
    </w:p>
    <w:p>
      <w:pPr>
        <w:pStyle w:val="27"/>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日     期：</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pStyle w:val="27"/>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09" w:name="_Toc27839"/>
      <w:r>
        <w:rPr>
          <w:rFonts w:hint="eastAsia" w:ascii="宋体" w:hAnsi="宋体" w:eastAsia="宋体"/>
          <w:color w:val="auto"/>
          <w:sz w:val="21"/>
          <w:szCs w:val="21"/>
          <w:highlight w:val="none"/>
        </w:rPr>
        <w:t>附件8.营业执照</w:t>
      </w:r>
      <w:bookmarkEnd w:id="109"/>
    </w:p>
    <w:p>
      <w:pPr>
        <w:jc w:val="center"/>
        <w:rPr>
          <w:rFonts w:ascii="黑体" w:eastAsia="黑体"/>
          <w:color w:val="auto"/>
          <w:sz w:val="28"/>
          <w:szCs w:val="28"/>
          <w:highlight w:val="none"/>
        </w:rPr>
      </w:pPr>
      <w:bookmarkStart w:id="110" w:name="_Toc4926"/>
      <w:bookmarkStart w:id="111" w:name="_Toc1511"/>
      <w:bookmarkStart w:id="112" w:name="_Toc5919"/>
      <w:bookmarkStart w:id="113" w:name="_Toc17470"/>
      <w:bookmarkStart w:id="114" w:name="_Toc24210"/>
      <w:r>
        <w:rPr>
          <w:rFonts w:hint="eastAsia" w:ascii="黑体" w:eastAsia="黑体"/>
          <w:color w:val="auto"/>
          <w:sz w:val="28"/>
          <w:szCs w:val="28"/>
          <w:highlight w:val="none"/>
        </w:rPr>
        <w:t>营业执照</w:t>
      </w:r>
      <w:bookmarkEnd w:id="110"/>
      <w:bookmarkEnd w:id="111"/>
      <w:bookmarkEnd w:id="112"/>
      <w:bookmarkEnd w:id="113"/>
      <w:bookmarkEnd w:id="114"/>
    </w:p>
    <w:p>
      <w:pPr>
        <w:jc w:val="center"/>
        <w:rPr>
          <w:rFonts w:ascii="黑体" w:eastAsia="黑体"/>
          <w:color w:val="auto"/>
          <w:sz w:val="28"/>
          <w:szCs w:val="28"/>
          <w:highlight w:val="none"/>
        </w:rPr>
      </w:pPr>
      <w:r>
        <w:rPr>
          <w:rFonts w:hint="eastAsia" w:ascii="黑体" w:eastAsia="黑体"/>
          <w:color w:val="auto"/>
          <w:sz w:val="28"/>
          <w:szCs w:val="28"/>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15" w:name="_Toc26141"/>
      <w:r>
        <w:rPr>
          <w:rFonts w:hint="eastAsia" w:ascii="宋体" w:hAnsi="宋体" w:eastAsia="宋体"/>
          <w:color w:val="auto"/>
          <w:sz w:val="21"/>
          <w:szCs w:val="21"/>
          <w:highlight w:val="none"/>
        </w:rPr>
        <w:t>附件9.相关资质证明文件</w:t>
      </w:r>
      <w:bookmarkEnd w:id="115"/>
    </w:p>
    <w:p>
      <w:pPr>
        <w:rPr>
          <w:color w:val="auto"/>
          <w:highlight w:val="none"/>
        </w:rPr>
      </w:pPr>
    </w:p>
    <w:p>
      <w:pPr>
        <w:jc w:val="center"/>
        <w:rPr>
          <w:rFonts w:ascii="黑体" w:eastAsia="黑体"/>
          <w:color w:val="auto"/>
          <w:sz w:val="28"/>
          <w:szCs w:val="28"/>
          <w:highlight w:val="none"/>
        </w:rPr>
      </w:pPr>
      <w:bookmarkStart w:id="116" w:name="_Toc9592"/>
      <w:bookmarkStart w:id="117" w:name="_Toc16233"/>
      <w:bookmarkStart w:id="118" w:name="_Toc16698"/>
      <w:bookmarkStart w:id="119" w:name="_Toc30307"/>
      <w:bookmarkStart w:id="120" w:name="_Toc13458"/>
      <w:r>
        <w:rPr>
          <w:rFonts w:hint="eastAsia" w:ascii="黑体" w:eastAsia="黑体"/>
          <w:color w:val="auto"/>
          <w:sz w:val="28"/>
          <w:szCs w:val="28"/>
          <w:highlight w:val="none"/>
        </w:rPr>
        <w:t>相关资质证明文件</w:t>
      </w:r>
      <w:bookmarkEnd w:id="107"/>
      <w:bookmarkEnd w:id="116"/>
      <w:bookmarkEnd w:id="117"/>
      <w:bookmarkEnd w:id="118"/>
      <w:bookmarkEnd w:id="119"/>
      <w:bookmarkEnd w:id="120"/>
    </w:p>
    <w:p>
      <w:pPr>
        <w:jc w:val="center"/>
        <w:rPr>
          <w:rFonts w:ascii="黑体" w:eastAsia="黑体"/>
          <w:color w:val="auto"/>
          <w:sz w:val="28"/>
          <w:szCs w:val="28"/>
          <w:highlight w:val="none"/>
        </w:rPr>
      </w:pPr>
      <w:r>
        <w:rPr>
          <w:rFonts w:hint="eastAsia" w:ascii="黑体" w:eastAsia="黑体"/>
          <w:color w:val="auto"/>
          <w:sz w:val="28"/>
          <w:szCs w:val="28"/>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21" w:name="_Toc17618"/>
      <w:r>
        <w:rPr>
          <w:rFonts w:hint="eastAsia" w:ascii="宋体" w:hAnsi="宋体" w:eastAsia="宋体"/>
          <w:color w:val="auto"/>
          <w:sz w:val="21"/>
          <w:szCs w:val="21"/>
          <w:highlight w:val="none"/>
        </w:rPr>
        <w:t>附件10. 商务条款偏离表格式</w:t>
      </w:r>
      <w:bookmarkEnd w:id="121"/>
    </w:p>
    <w:p>
      <w:pPr>
        <w:jc w:val="center"/>
        <w:rPr>
          <w:rFonts w:ascii="黑体" w:eastAsia="黑体"/>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商务条款偏离表</w:t>
      </w:r>
    </w:p>
    <w:tbl>
      <w:tblPr>
        <w:tblStyle w:val="16"/>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360"/>
        <w:gridCol w:w="1587"/>
        <w:gridCol w:w="113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8"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162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服务项目名称</w:t>
            </w:r>
          </w:p>
        </w:tc>
        <w:tc>
          <w:tcPr>
            <w:tcW w:w="136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招标要求</w:t>
            </w:r>
          </w:p>
        </w:tc>
        <w:tc>
          <w:tcPr>
            <w:tcW w:w="1587"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投标实际响应</w:t>
            </w:r>
          </w:p>
        </w:tc>
        <w:tc>
          <w:tcPr>
            <w:tcW w:w="1133"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是否偏离</w:t>
            </w:r>
          </w:p>
        </w:tc>
        <w:tc>
          <w:tcPr>
            <w:tcW w:w="173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bl>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rPr>
          <w:rFonts w:ascii="宋体" w:hAnsi="宋体" w:eastAsia="宋体"/>
          <w:color w:val="auto"/>
          <w:sz w:val="21"/>
          <w:szCs w:val="21"/>
          <w:highlight w:val="none"/>
        </w:rPr>
      </w:pPr>
    </w:p>
    <w:p>
      <w:pPr>
        <w:ind w:left="718" w:hanging="718" w:hangingChars="342"/>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1、投标人应对照招标文件商务要求，说明已对招标文件的商务内容做出了实质性的响应。</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2、商务条款包括但不限于合格投标人资格、付款方式、履约保证金、完工期、售后服务、检验及验收、保险、争端的解决等要求。</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3、</w:t>
      </w:r>
      <w:r>
        <w:rPr>
          <w:rFonts w:hint="eastAsia" w:ascii="宋体" w:hAnsi="宋体" w:eastAsia="宋体"/>
          <w:color w:val="auto"/>
          <w:sz w:val="21"/>
          <w:szCs w:val="21"/>
          <w:highlight w:val="none"/>
          <w:lang w:eastAsia="zh-CN"/>
        </w:rPr>
        <w:t>若文件有具体要求的，应按照文件要求进行逐一响应，并提供相应的证明材料</w:t>
      </w:r>
      <w:r>
        <w:rPr>
          <w:rFonts w:hint="eastAsia" w:ascii="宋体" w:hAnsi="宋体" w:eastAsia="宋体"/>
          <w:color w:val="auto"/>
          <w:sz w:val="21"/>
          <w:szCs w:val="21"/>
          <w:highlight w:val="none"/>
        </w:rPr>
        <w:t>。</w:t>
      </w: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r>
        <w:rPr>
          <w:color w:val="auto"/>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22" w:name="_Toc32183"/>
      <w:r>
        <w:rPr>
          <w:rFonts w:hint="eastAsia" w:ascii="宋体" w:hAnsi="宋体" w:eastAsia="宋体"/>
          <w:color w:val="auto"/>
          <w:sz w:val="21"/>
          <w:szCs w:val="21"/>
          <w:highlight w:val="none"/>
        </w:rPr>
        <w:t>附件11. 技术规格偏离表格式</w:t>
      </w:r>
      <w:bookmarkEnd w:id="122"/>
    </w:p>
    <w:p>
      <w:pPr>
        <w:jc w:val="center"/>
        <w:rPr>
          <w:rFonts w:ascii="黑体" w:eastAsia="黑体"/>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技术规格偏离表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02"/>
        <w:gridCol w:w="1370"/>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38"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1902" w:type="dxa"/>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技术规格</w:t>
            </w:r>
          </w:p>
        </w:tc>
        <w:tc>
          <w:tcPr>
            <w:tcW w:w="137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招标要求</w:t>
            </w:r>
          </w:p>
        </w:tc>
        <w:tc>
          <w:tcPr>
            <w:tcW w:w="1629"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投标实际响应</w:t>
            </w:r>
          </w:p>
        </w:tc>
        <w:tc>
          <w:tcPr>
            <w:tcW w:w="1239"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是否偏离</w:t>
            </w:r>
          </w:p>
        </w:tc>
        <w:tc>
          <w:tcPr>
            <w:tcW w:w="1544"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bl>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ind w:firstLine="178" w:firstLineChars="85"/>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1、偏离项中填写“正”、“负”或“无”，说明项中填写原因。</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2、投标人应对照招标文件技术规格，说明所提供服务已对招标文件的技术规格做出实质性的响应，并申明与技术规格条文的偏差和例外。特别对有具体参数要求的指标，投标人必须提供所投设备的具体参数值。</w:t>
      </w:r>
    </w:p>
    <w:p>
      <w:pPr>
        <w:spacing w:after="0" w:line="360" w:lineRule="auto"/>
        <w:rPr>
          <w:rFonts w:ascii="宋体" w:hAnsi="宋体" w:eastAsia="宋体"/>
          <w:color w:val="auto"/>
          <w:sz w:val="21"/>
          <w:szCs w:val="21"/>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rPr>
          <w:rFonts w:ascii="宋体" w:hAnsi="宋体" w:eastAsia="宋体"/>
          <w:color w:val="auto"/>
          <w:sz w:val="21"/>
          <w:szCs w:val="21"/>
          <w:highlight w:val="none"/>
        </w:rPr>
      </w:pPr>
      <w:bookmarkStart w:id="123" w:name="_Toc17691"/>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s="Times New Roman"/>
          <w:b w:val="0"/>
          <w:bCs w:val="0"/>
          <w:color w:val="auto"/>
          <w:sz w:val="32"/>
          <w:szCs w:val="32"/>
          <w:highlight w:val="none"/>
        </w:rPr>
      </w:pPr>
      <w:bookmarkStart w:id="124" w:name="_Toc29613"/>
      <w:r>
        <w:rPr>
          <w:rFonts w:hint="eastAsia" w:ascii="宋体" w:hAnsi="宋体" w:eastAsia="宋体"/>
          <w:color w:val="auto"/>
          <w:sz w:val="21"/>
          <w:szCs w:val="21"/>
          <w:highlight w:val="none"/>
        </w:rPr>
        <w:t>附件12.重要技术参数（▲）响应表</w:t>
      </w:r>
      <w:bookmarkEnd w:id="123"/>
      <w:bookmarkEnd w:id="124"/>
    </w:p>
    <w:p>
      <w:pPr>
        <w:jc w:val="center"/>
        <w:rPr>
          <w:rFonts w:ascii="黑体" w:eastAsia="黑体"/>
          <w:color w:val="auto"/>
          <w:sz w:val="28"/>
          <w:szCs w:val="28"/>
          <w:highlight w:val="none"/>
        </w:rPr>
      </w:pPr>
      <w:bookmarkStart w:id="125" w:name="_Toc1274"/>
      <w:bookmarkStart w:id="126" w:name="_Toc4827"/>
      <w:bookmarkStart w:id="127" w:name="_Toc18668"/>
      <w:bookmarkStart w:id="128" w:name="_Toc26078"/>
      <w:bookmarkStart w:id="129" w:name="_Toc4464"/>
      <w:bookmarkStart w:id="130" w:name="_Toc6080"/>
    </w:p>
    <w:p>
      <w:pPr>
        <w:jc w:val="center"/>
        <w:rPr>
          <w:rFonts w:ascii="黑体" w:eastAsia="黑体"/>
          <w:color w:val="auto"/>
          <w:sz w:val="28"/>
          <w:szCs w:val="28"/>
          <w:highlight w:val="none"/>
        </w:rPr>
      </w:pPr>
      <w:r>
        <w:rPr>
          <w:rFonts w:hint="eastAsia" w:ascii="黑体" w:eastAsia="黑体"/>
          <w:color w:val="auto"/>
          <w:sz w:val="28"/>
          <w:szCs w:val="28"/>
          <w:highlight w:val="none"/>
        </w:rPr>
        <w:t>重要技术参数（▲）响应表</w:t>
      </w:r>
      <w:bookmarkEnd w:id="125"/>
      <w:bookmarkEnd w:id="126"/>
      <w:bookmarkEnd w:id="127"/>
      <w:bookmarkEnd w:id="128"/>
      <w:bookmarkEnd w:id="129"/>
      <w:bookmarkEnd w:id="130"/>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bookmarkStart w:id="131" w:name="_Toc27090"/>
            <w:bookmarkStart w:id="132" w:name="_Toc10045"/>
            <w:bookmarkStart w:id="133" w:name="_Toc2700"/>
            <w:bookmarkStart w:id="134" w:name="_Toc14815"/>
            <w:bookmarkStart w:id="135" w:name="_Toc16872"/>
            <w:bookmarkStart w:id="136" w:name="_Toc15903"/>
            <w:bookmarkStart w:id="137" w:name="_Toc12049"/>
            <w:bookmarkStart w:id="138" w:name="_Toc22448"/>
            <w:bookmarkStart w:id="139" w:name="_Toc21739"/>
            <w:bookmarkStart w:id="140" w:name="_Toc4304"/>
            <w:r>
              <w:rPr>
                <w:rFonts w:hint="eastAsia" w:ascii="宋体" w:hAnsi="宋体" w:eastAsia="宋体" w:cs="Times New Roman"/>
                <w:color w:val="auto"/>
                <w:sz w:val="21"/>
                <w:szCs w:val="21"/>
                <w:highlight w:val="none"/>
              </w:rPr>
              <w:t>技术参数（▲）</w:t>
            </w:r>
            <w:bookmarkEnd w:id="131"/>
            <w:bookmarkEnd w:id="132"/>
            <w:bookmarkEnd w:id="133"/>
            <w:bookmarkEnd w:id="134"/>
            <w:bookmarkEnd w:id="135"/>
            <w:bookmarkEnd w:id="136"/>
            <w:bookmarkEnd w:id="137"/>
            <w:bookmarkEnd w:id="138"/>
            <w:bookmarkEnd w:id="139"/>
            <w:bookmarkEnd w:id="140"/>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bookmarkStart w:id="141" w:name="_Toc21809"/>
            <w:bookmarkStart w:id="142" w:name="_Toc19251"/>
            <w:bookmarkStart w:id="143" w:name="_Toc22879"/>
            <w:bookmarkStart w:id="144" w:name="_Toc22917"/>
            <w:bookmarkStart w:id="145" w:name="_Toc32531"/>
            <w:bookmarkStart w:id="146" w:name="_Toc24662"/>
            <w:bookmarkStart w:id="147" w:name="_Toc8490"/>
            <w:bookmarkStart w:id="148" w:name="_Toc27442"/>
            <w:bookmarkStart w:id="149" w:name="_Toc8312"/>
            <w:bookmarkStart w:id="150" w:name="_Toc7333"/>
            <w:r>
              <w:rPr>
                <w:rFonts w:hint="eastAsia" w:ascii="宋体" w:hAnsi="宋体" w:eastAsia="宋体" w:cs="Times New Roman"/>
                <w:color w:val="auto"/>
                <w:sz w:val="21"/>
                <w:szCs w:val="21"/>
                <w:highlight w:val="none"/>
              </w:rPr>
              <w:t>是否响应</w:t>
            </w:r>
            <w:bookmarkEnd w:id="141"/>
            <w:bookmarkEnd w:id="142"/>
            <w:bookmarkEnd w:id="143"/>
            <w:bookmarkEnd w:id="144"/>
            <w:bookmarkEnd w:id="145"/>
            <w:bookmarkEnd w:id="146"/>
            <w:bookmarkEnd w:id="147"/>
            <w:bookmarkEnd w:id="148"/>
            <w:bookmarkEnd w:id="149"/>
            <w:bookmarkEnd w:id="150"/>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bookmarkStart w:id="151" w:name="_Toc20820"/>
            <w:bookmarkStart w:id="152" w:name="_Toc5992"/>
            <w:bookmarkStart w:id="153" w:name="_Toc5563"/>
            <w:bookmarkStart w:id="154" w:name="_Toc27185"/>
            <w:bookmarkStart w:id="155" w:name="_Toc1912"/>
            <w:bookmarkStart w:id="156" w:name="_Toc3701"/>
            <w:bookmarkStart w:id="157" w:name="_Toc20139"/>
            <w:bookmarkStart w:id="158" w:name="_Toc17296"/>
            <w:bookmarkStart w:id="159" w:name="_Toc17642"/>
            <w:bookmarkStart w:id="160" w:name="_Toc1330"/>
            <w:r>
              <w:rPr>
                <w:rFonts w:hint="eastAsia" w:ascii="宋体" w:hAnsi="宋体" w:eastAsia="宋体" w:cs="Times New Roman"/>
                <w:color w:val="auto"/>
                <w:sz w:val="21"/>
                <w:szCs w:val="21"/>
                <w:highlight w:val="none"/>
              </w:rPr>
              <w:t>页码范围</w:t>
            </w:r>
            <w:bookmarkEnd w:id="151"/>
            <w:bookmarkEnd w:id="152"/>
            <w:bookmarkEnd w:id="153"/>
            <w:bookmarkEnd w:id="154"/>
            <w:bookmarkEnd w:id="155"/>
            <w:bookmarkEnd w:id="156"/>
            <w:bookmarkEnd w:id="157"/>
            <w:bookmarkEnd w:id="158"/>
            <w:bookmarkEnd w:id="159"/>
            <w:bookmarkEnd w:id="1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auto"/>
                <w:sz w:val="21"/>
                <w:szCs w:val="21"/>
                <w:highlight w:val="none"/>
              </w:rPr>
            </w:pPr>
          </w:p>
        </w:tc>
      </w:tr>
    </w:tbl>
    <w:p>
      <w:pPr>
        <w:pStyle w:val="24"/>
        <w:spacing w:after="0" w:line="360" w:lineRule="auto"/>
        <w:rPr>
          <w:rFonts w:ascii="宋体" w:hAnsi="宋体" w:eastAsia="宋体"/>
          <w:color w:val="auto"/>
          <w:sz w:val="21"/>
          <w:szCs w:val="21"/>
          <w:highlight w:val="none"/>
        </w:rPr>
      </w:pPr>
    </w:p>
    <w:p>
      <w:pPr>
        <w:pStyle w:val="24"/>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pStyle w:val="24"/>
        <w:numPr>
          <w:ilvl w:val="0"/>
          <w:numId w:val="13"/>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该表格为参考格式，投标人可按实际情况自行制订。</w:t>
      </w:r>
    </w:p>
    <w:p>
      <w:pPr>
        <w:pStyle w:val="24"/>
        <w:numPr>
          <w:ilvl w:val="0"/>
          <w:numId w:val="13"/>
        </w:numPr>
        <w:spacing w:after="0" w:line="360" w:lineRule="auto"/>
        <w:ind w:firstLine="422"/>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投标人可按项目的实际需要提供本表格。招标文件内未涉及▲参数的，此表可以不用提供。</w:t>
      </w:r>
    </w:p>
    <w:p>
      <w:pPr>
        <w:pStyle w:val="24"/>
        <w:numPr>
          <w:ilvl w:val="0"/>
          <w:numId w:val="13"/>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响应表所列出的材料应为真实准确的，若文件需要，应提供相关证明材料复印件加盖公章。请勿提供虚假、过期材料，否则将依据相关规定严肃处理</w:t>
      </w:r>
    </w:p>
    <w:p>
      <w:pPr>
        <w:pStyle w:val="24"/>
        <w:numPr>
          <w:ilvl w:val="0"/>
          <w:numId w:val="13"/>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若招标文件有需求，投标文件未提供重要技术参数（</w:t>
      </w:r>
      <w:r>
        <w:rPr>
          <w:rFonts w:hint="eastAsia" w:ascii="宋体" w:hAnsi="宋体" w:eastAsia="宋体" w:cs="Times New Roman"/>
          <w:color w:val="auto"/>
          <w:sz w:val="21"/>
          <w:szCs w:val="21"/>
          <w:highlight w:val="none"/>
        </w:rPr>
        <w:t>▲</w:t>
      </w:r>
      <w:r>
        <w:rPr>
          <w:rFonts w:hint="eastAsia" w:ascii="宋体" w:hAnsi="宋体" w:eastAsia="宋体"/>
          <w:color w:val="auto"/>
          <w:sz w:val="21"/>
          <w:szCs w:val="21"/>
          <w:highlight w:val="none"/>
        </w:rPr>
        <w:t>）响应表对投标人投标产生负面影响的，投标人自行承担后果。</w:t>
      </w:r>
    </w:p>
    <w:p>
      <w:pPr>
        <w:pStyle w:val="24"/>
        <w:numPr>
          <w:ilvl w:val="0"/>
          <w:numId w:val="13"/>
        </w:num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30"/>
          <w:szCs w:val="30"/>
          <w:highlight w:val="none"/>
        </w:rPr>
      </w:pPr>
      <w:bookmarkStart w:id="161" w:name="_Toc27674"/>
      <w:r>
        <w:rPr>
          <w:rFonts w:hint="eastAsia" w:ascii="宋体" w:hAnsi="宋体" w:eastAsia="宋体"/>
          <w:color w:val="auto"/>
          <w:sz w:val="21"/>
          <w:szCs w:val="21"/>
          <w:highlight w:val="none"/>
        </w:rPr>
        <w:t>附件13.业绩表</w:t>
      </w:r>
      <w:bookmarkEnd w:id="161"/>
    </w:p>
    <w:p>
      <w:pPr>
        <w:jc w:val="center"/>
        <w:rPr>
          <w:rFonts w:ascii="黑体" w:eastAsia="黑体"/>
          <w:color w:val="auto"/>
          <w:sz w:val="28"/>
          <w:szCs w:val="28"/>
          <w:highlight w:val="none"/>
        </w:rPr>
      </w:pPr>
      <w:r>
        <w:rPr>
          <w:rFonts w:hint="eastAsia" w:ascii="黑体" w:eastAsia="黑体"/>
          <w:color w:val="auto"/>
          <w:sz w:val="28"/>
          <w:szCs w:val="28"/>
          <w:highlight w:val="none"/>
        </w:rPr>
        <w:t>业绩表</w:t>
      </w:r>
    </w:p>
    <w:tbl>
      <w:tblPr>
        <w:tblStyle w:val="17"/>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1705" w:type="dxa"/>
            <w:vAlign w:val="center"/>
          </w:tcPr>
          <w:p>
            <w:pPr>
              <w:adjustRightInd/>
              <w:snapToGrid/>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项目名称</w:t>
            </w:r>
          </w:p>
        </w:tc>
        <w:tc>
          <w:tcPr>
            <w:tcW w:w="1706" w:type="dxa"/>
            <w:vAlign w:val="center"/>
          </w:tcPr>
          <w:p>
            <w:pPr>
              <w:adjustRightInd/>
              <w:snapToGrid/>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项目金额</w:t>
            </w:r>
          </w:p>
        </w:tc>
        <w:tc>
          <w:tcPr>
            <w:tcW w:w="1705" w:type="dxa"/>
            <w:vAlign w:val="center"/>
          </w:tcPr>
          <w:p>
            <w:pPr>
              <w:adjustRightInd/>
              <w:snapToGrid/>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项目合同签订时间</w:t>
            </w:r>
          </w:p>
        </w:tc>
        <w:tc>
          <w:tcPr>
            <w:tcW w:w="1697" w:type="dxa"/>
            <w:vAlign w:val="center"/>
          </w:tcPr>
          <w:p>
            <w:pPr>
              <w:adjustRightInd/>
              <w:snapToGrid/>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color w:val="auto"/>
                <w:sz w:val="21"/>
                <w:szCs w:val="21"/>
                <w:highlight w:val="none"/>
              </w:rPr>
            </w:pPr>
          </w:p>
        </w:tc>
        <w:tc>
          <w:tcPr>
            <w:tcW w:w="1705" w:type="dxa"/>
            <w:vAlign w:val="center"/>
          </w:tcPr>
          <w:p>
            <w:pPr>
              <w:adjustRightInd/>
              <w:snapToGrid/>
              <w:spacing w:after="0"/>
              <w:jc w:val="center"/>
              <w:rPr>
                <w:rFonts w:ascii="宋体" w:hAnsi="宋体" w:eastAsia="宋体"/>
                <w:color w:val="auto"/>
                <w:sz w:val="21"/>
                <w:szCs w:val="21"/>
                <w:highlight w:val="none"/>
              </w:rPr>
            </w:pPr>
          </w:p>
        </w:tc>
        <w:tc>
          <w:tcPr>
            <w:tcW w:w="1706" w:type="dxa"/>
            <w:vAlign w:val="center"/>
          </w:tcPr>
          <w:p>
            <w:pPr>
              <w:adjustRightInd/>
              <w:snapToGrid/>
              <w:spacing w:after="0"/>
              <w:jc w:val="center"/>
              <w:rPr>
                <w:rFonts w:ascii="宋体" w:hAnsi="宋体" w:eastAsia="宋体"/>
                <w:color w:val="auto"/>
                <w:sz w:val="21"/>
                <w:szCs w:val="21"/>
                <w:highlight w:val="none"/>
              </w:rPr>
            </w:pPr>
          </w:p>
        </w:tc>
        <w:tc>
          <w:tcPr>
            <w:tcW w:w="1705" w:type="dxa"/>
            <w:vAlign w:val="center"/>
          </w:tcPr>
          <w:p>
            <w:pPr>
              <w:adjustRightInd/>
              <w:snapToGrid/>
              <w:spacing w:after="0"/>
              <w:jc w:val="center"/>
              <w:rPr>
                <w:rFonts w:ascii="宋体" w:hAnsi="宋体" w:eastAsia="宋体"/>
                <w:color w:val="auto"/>
                <w:sz w:val="21"/>
                <w:szCs w:val="21"/>
                <w:highlight w:val="none"/>
              </w:rPr>
            </w:pPr>
          </w:p>
        </w:tc>
        <w:tc>
          <w:tcPr>
            <w:tcW w:w="1697" w:type="dxa"/>
            <w:vAlign w:val="center"/>
          </w:tcPr>
          <w:p>
            <w:pPr>
              <w:adjustRightInd/>
              <w:snapToGrid/>
              <w:spacing w:after="0"/>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bl>
    <w:p>
      <w:pPr>
        <w:pStyle w:val="24"/>
        <w:spacing w:after="0"/>
        <w:rPr>
          <w:rFonts w:ascii="宋体" w:hAnsi="宋体" w:eastAsia="宋体"/>
          <w:color w:val="auto"/>
          <w:sz w:val="21"/>
          <w:szCs w:val="21"/>
          <w:highlight w:val="none"/>
        </w:rPr>
      </w:pPr>
    </w:p>
    <w:p>
      <w:pPr>
        <w:pStyle w:val="24"/>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pStyle w:val="24"/>
        <w:numPr>
          <w:ilvl w:val="0"/>
          <w:numId w:val="14"/>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该表格为参考格式，投标人可按实际情况自行制订。</w:t>
      </w:r>
    </w:p>
    <w:p>
      <w:pPr>
        <w:pStyle w:val="24"/>
        <w:numPr>
          <w:ilvl w:val="0"/>
          <w:numId w:val="14"/>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业绩表所列出的材料应为真实准确的，并应提供相关证明材料复印件加盖公章。请勿提供虚假、过期材料，否则将依据相关规定严肃处理。</w:t>
      </w:r>
    </w:p>
    <w:p>
      <w:pPr>
        <w:pStyle w:val="24"/>
        <w:numPr>
          <w:ilvl w:val="0"/>
          <w:numId w:val="14"/>
        </w:num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62" w:name="_Toc7860"/>
      <w:r>
        <w:rPr>
          <w:rFonts w:hint="eastAsia" w:ascii="宋体" w:hAnsi="宋体" w:eastAsia="宋体"/>
          <w:color w:val="auto"/>
          <w:sz w:val="21"/>
          <w:szCs w:val="21"/>
          <w:highlight w:val="none"/>
        </w:rPr>
        <w:t>附件14. 项目实施方案格式</w:t>
      </w:r>
      <w:bookmarkEnd w:id="162"/>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项目实施方案</w:t>
      </w:r>
    </w:p>
    <w:p>
      <w:pPr>
        <w:jc w:val="center"/>
        <w:rPr>
          <w:rFonts w:ascii="黑体" w:eastAsia="黑体"/>
          <w:color w:val="auto"/>
          <w:sz w:val="32"/>
          <w:szCs w:val="32"/>
          <w:highlight w:val="none"/>
        </w:rPr>
      </w:pP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1、为完成本项目投标人临时投入的设备</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2、为完成本项目投标人投入的人员以及具体工作安排</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3、投标人为本项目制定的具体项目实施方案与项目实施流程</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4、售后服务方案</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5、..........</w:t>
      </w:r>
    </w:p>
    <w:p>
      <w:pPr>
        <w:spacing w:after="0" w:line="360" w:lineRule="auto"/>
        <w:ind w:left="738" w:leftChars="200" w:hanging="298" w:hangingChars="142"/>
        <w:rPr>
          <w:rFonts w:ascii="宋体" w:hAnsi="宋体" w:eastAsia="宋体" w:cs="Times New Roman"/>
          <w:color w:val="auto"/>
          <w:sz w:val="21"/>
          <w:szCs w:val="21"/>
          <w:highlight w:val="none"/>
        </w:rPr>
      </w:pPr>
      <w:r>
        <w:rPr>
          <w:rFonts w:hint="eastAsia" w:ascii="宋体" w:hAnsi="宋体" w:eastAsia="宋体"/>
          <w:color w:val="auto"/>
          <w:sz w:val="21"/>
          <w:szCs w:val="21"/>
          <w:highlight w:val="none"/>
        </w:rPr>
        <w:t>自行编写。</w:t>
      </w:r>
    </w:p>
    <w:p>
      <w:pPr>
        <w:spacing w:after="0" w:line="360" w:lineRule="auto"/>
        <w:ind w:left="738" w:leftChars="200" w:hanging="298" w:hangingChars="142"/>
        <w:rPr>
          <w:rFonts w:ascii="宋体" w:hAnsi="宋体" w:eastAsia="宋体"/>
          <w:color w:val="auto"/>
          <w:sz w:val="21"/>
          <w:szCs w:val="21"/>
          <w:highlight w:val="none"/>
        </w:rPr>
      </w:pPr>
    </w:p>
    <w:p>
      <w:pPr>
        <w:spacing w:after="0" w:line="360" w:lineRule="auto"/>
        <w:ind w:left="738" w:leftChars="200" w:hanging="298" w:hangingChars="142"/>
        <w:rPr>
          <w:rFonts w:ascii="宋体" w:hAnsi="宋体" w:eastAsia="宋体"/>
          <w:color w:val="auto"/>
          <w:sz w:val="21"/>
          <w:szCs w:val="21"/>
          <w:highlight w:val="none"/>
        </w:rPr>
      </w:pP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63" w:name="_Toc8596"/>
      <w:r>
        <w:rPr>
          <w:rFonts w:hint="eastAsia" w:ascii="宋体" w:hAnsi="宋体" w:eastAsia="宋体"/>
          <w:color w:val="auto"/>
          <w:sz w:val="21"/>
          <w:szCs w:val="21"/>
          <w:highlight w:val="none"/>
        </w:rPr>
        <w:t>附件15. 实施本项目的有关人员资料表格式</w:t>
      </w:r>
      <w:bookmarkEnd w:id="163"/>
    </w:p>
    <w:p>
      <w:pPr>
        <w:jc w:val="center"/>
        <w:rPr>
          <w:rFonts w:ascii="宋体" w:hAnsi="宋体" w:eastAsia="宋体"/>
          <w:color w:val="auto"/>
          <w:sz w:val="21"/>
          <w:szCs w:val="21"/>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实施本项目的有关人员资料表</w:t>
      </w:r>
    </w:p>
    <w:tbl>
      <w:tblPr>
        <w:tblStyle w:val="16"/>
        <w:tblW w:w="7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22"/>
        <w:gridCol w:w="1392"/>
        <w:gridCol w:w="763"/>
        <w:gridCol w:w="708"/>
        <w:gridCol w:w="851"/>
        <w:gridCol w:w="850"/>
        <w:gridCol w:w="78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82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姓名</w:t>
            </w:r>
          </w:p>
        </w:tc>
        <w:tc>
          <w:tcPr>
            <w:tcW w:w="139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本项目拟任岗位</w:t>
            </w:r>
          </w:p>
        </w:tc>
        <w:tc>
          <w:tcPr>
            <w:tcW w:w="76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性别</w:t>
            </w:r>
          </w:p>
        </w:tc>
        <w:tc>
          <w:tcPr>
            <w:tcW w:w="70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年龄</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技术职称</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专 业</w:t>
            </w:r>
          </w:p>
        </w:tc>
        <w:tc>
          <w:tcPr>
            <w:tcW w:w="78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资质证书</w:t>
            </w:r>
          </w:p>
        </w:tc>
        <w:tc>
          <w:tcPr>
            <w:tcW w:w="1090" w:type="dxa"/>
            <w:tcBorders>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bl>
    <w:p>
      <w:pPr>
        <w:ind w:firstLine="178" w:firstLineChars="85"/>
        <w:rPr>
          <w:rFonts w:ascii="宋体" w:hAnsi="宋体" w:eastAsia="宋体"/>
          <w:color w:val="auto"/>
          <w:sz w:val="21"/>
          <w:szCs w:val="21"/>
          <w:highlight w:val="none"/>
        </w:rPr>
      </w:pPr>
    </w:p>
    <w:p>
      <w:pPr>
        <w:ind w:firstLine="178" w:firstLineChars="85"/>
        <w:rPr>
          <w:rFonts w:ascii="宋体" w:hAnsi="宋体" w:eastAsia="宋体"/>
          <w:color w:val="auto"/>
          <w:sz w:val="21"/>
          <w:szCs w:val="21"/>
          <w:highlight w:val="none"/>
        </w:rPr>
      </w:pPr>
      <w:r>
        <w:rPr>
          <w:rFonts w:hint="eastAsia" w:ascii="宋体" w:hAnsi="宋体" w:eastAsia="宋体"/>
          <w:color w:val="auto"/>
          <w:sz w:val="21"/>
          <w:szCs w:val="21"/>
          <w:highlight w:val="none"/>
        </w:rPr>
        <w:t>附有关证明文件（复印件加盖公章）</w:t>
      </w:r>
    </w:p>
    <w:p>
      <w:pPr>
        <w:ind w:firstLine="178" w:firstLineChars="85"/>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ind w:firstLine="178" w:firstLineChars="85"/>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pStyle w:val="24"/>
        <w:numPr>
          <w:ilvl w:val="0"/>
          <w:numId w:val="15"/>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投标人可按项目的实际需要</w:t>
      </w:r>
      <w:r>
        <w:rPr>
          <w:rFonts w:hint="eastAsia" w:ascii="宋体" w:hAnsi="宋体" w:eastAsia="宋体"/>
          <w:color w:val="auto"/>
          <w:sz w:val="21"/>
          <w:szCs w:val="21"/>
          <w:highlight w:val="none"/>
          <w:lang w:eastAsia="zh-CN"/>
        </w:rPr>
        <w:t>或招标文件的要求</w:t>
      </w:r>
      <w:r>
        <w:rPr>
          <w:rFonts w:hint="eastAsia" w:ascii="宋体" w:hAnsi="宋体" w:eastAsia="宋体"/>
          <w:color w:val="auto"/>
          <w:sz w:val="21"/>
          <w:szCs w:val="21"/>
          <w:highlight w:val="none"/>
        </w:rPr>
        <w:t>提供本表格。</w:t>
      </w:r>
    </w:p>
    <w:p>
      <w:pPr>
        <w:pStyle w:val="24"/>
        <w:numPr>
          <w:ilvl w:val="0"/>
          <w:numId w:val="15"/>
        </w:numPr>
        <w:ind w:firstLineChars="0"/>
        <w:rPr>
          <w:rFonts w:ascii="宋体" w:hAnsi="宋体" w:eastAsia="宋体" w:cs="Times New Roman"/>
          <w:color w:val="auto"/>
          <w:sz w:val="21"/>
          <w:szCs w:val="21"/>
          <w:highlight w:val="none"/>
        </w:rPr>
      </w:pPr>
      <w:r>
        <w:rPr>
          <w:rFonts w:hint="eastAsia" w:ascii="宋体" w:hAnsi="宋体" w:eastAsia="宋体"/>
          <w:color w:val="auto"/>
          <w:sz w:val="21"/>
          <w:szCs w:val="21"/>
          <w:highlight w:val="none"/>
        </w:rPr>
        <w:t>该表格为参考格式，投标人可按实际情况自行制订。</w:t>
      </w:r>
    </w:p>
    <w:p>
      <w:pPr>
        <w:pStyle w:val="24"/>
        <w:numPr>
          <w:ilvl w:val="0"/>
          <w:numId w:val="15"/>
        </w:numPr>
        <w:ind w:firstLineChars="0"/>
        <w:rPr>
          <w:rFonts w:ascii="宋体" w:hAnsi="宋体" w:eastAsia="宋体" w:cs="Times New Roman"/>
          <w:color w:val="auto"/>
          <w:sz w:val="21"/>
          <w:szCs w:val="21"/>
          <w:highlight w:val="none"/>
        </w:rPr>
      </w:pPr>
      <w:r>
        <w:rPr>
          <w:rFonts w:hint="eastAsia" w:ascii="宋体" w:hAnsi="宋体" w:eastAsia="宋体"/>
          <w:color w:val="auto"/>
          <w:sz w:val="21"/>
          <w:szCs w:val="21"/>
          <w:highlight w:val="none"/>
          <w:lang w:eastAsia="zh-CN"/>
        </w:rPr>
        <w:t>如本项目不涉及此表内容，则无需提供此表。</w:t>
      </w:r>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164" w:name="_Toc21598"/>
      <w:r>
        <w:rPr>
          <w:rFonts w:hint="eastAsia" w:ascii="宋体" w:hAnsi="宋体" w:eastAsia="宋体"/>
          <w:color w:val="auto"/>
          <w:sz w:val="21"/>
          <w:szCs w:val="21"/>
          <w:highlight w:val="none"/>
        </w:rPr>
        <w:t>附件16.投标货物说明一览表格式</w:t>
      </w:r>
      <w:bookmarkEnd w:id="164"/>
    </w:p>
    <w:p>
      <w:pPr>
        <w:jc w:val="center"/>
        <w:rPr>
          <w:rFonts w:ascii="黑体" w:eastAsia="黑体"/>
          <w:color w:val="auto"/>
          <w:sz w:val="28"/>
          <w:szCs w:val="28"/>
          <w:highlight w:val="none"/>
        </w:rPr>
      </w:pPr>
    </w:p>
    <w:p>
      <w:pPr>
        <w:jc w:val="center"/>
        <w:rPr>
          <w:rFonts w:ascii="黑体" w:eastAsia="黑体" w:cs="Times New Roman"/>
          <w:color w:val="auto"/>
          <w:sz w:val="28"/>
          <w:szCs w:val="28"/>
          <w:highlight w:val="none"/>
        </w:rPr>
      </w:pPr>
      <w:r>
        <w:rPr>
          <w:rFonts w:hint="eastAsia" w:ascii="黑体" w:eastAsia="黑体" w:cs="Times New Roman"/>
          <w:color w:val="auto"/>
          <w:sz w:val="28"/>
          <w:szCs w:val="28"/>
          <w:highlight w:val="none"/>
        </w:rPr>
        <w:t>投标货物说明一览表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775"/>
        <w:gridCol w:w="1618"/>
        <w:gridCol w:w="1217"/>
        <w:gridCol w:w="165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序号</w:t>
            </w:r>
          </w:p>
        </w:tc>
        <w:tc>
          <w:tcPr>
            <w:tcW w:w="1775" w:type="dxa"/>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货物名称</w:t>
            </w:r>
          </w:p>
        </w:tc>
        <w:tc>
          <w:tcPr>
            <w:tcW w:w="1618" w:type="dxa"/>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规格型号</w:t>
            </w:r>
          </w:p>
        </w:tc>
        <w:tc>
          <w:tcPr>
            <w:tcW w:w="1217" w:type="dxa"/>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数量</w:t>
            </w:r>
          </w:p>
        </w:tc>
        <w:tc>
          <w:tcPr>
            <w:tcW w:w="1656" w:type="dxa"/>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单价</w:t>
            </w:r>
          </w:p>
        </w:tc>
        <w:tc>
          <w:tcPr>
            <w:tcW w:w="1305" w:type="dxa"/>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highlight w:val="none"/>
              </w:rPr>
            </w:pPr>
          </w:p>
        </w:tc>
        <w:tc>
          <w:tcPr>
            <w:tcW w:w="1775" w:type="dxa"/>
            <w:vAlign w:val="center"/>
          </w:tcPr>
          <w:p>
            <w:pPr>
              <w:spacing w:after="0"/>
              <w:jc w:val="center"/>
              <w:rPr>
                <w:rFonts w:ascii="宋体" w:hAnsi="宋体" w:eastAsia="宋体" w:cs="Times New Roman"/>
                <w:color w:val="auto"/>
                <w:sz w:val="21"/>
                <w:szCs w:val="21"/>
                <w:highlight w:val="none"/>
              </w:rPr>
            </w:pPr>
          </w:p>
        </w:tc>
        <w:tc>
          <w:tcPr>
            <w:tcW w:w="1618" w:type="dxa"/>
            <w:vAlign w:val="center"/>
          </w:tcPr>
          <w:p>
            <w:pPr>
              <w:spacing w:after="0"/>
              <w:jc w:val="center"/>
              <w:rPr>
                <w:rFonts w:ascii="宋体" w:hAnsi="宋体" w:eastAsia="宋体" w:cs="Times New Roman"/>
                <w:color w:val="auto"/>
                <w:sz w:val="21"/>
                <w:szCs w:val="21"/>
                <w:highlight w:val="none"/>
              </w:rPr>
            </w:pPr>
          </w:p>
        </w:tc>
        <w:tc>
          <w:tcPr>
            <w:tcW w:w="1217" w:type="dxa"/>
            <w:vAlign w:val="center"/>
          </w:tcPr>
          <w:p>
            <w:pPr>
              <w:spacing w:after="0"/>
              <w:jc w:val="center"/>
              <w:rPr>
                <w:rFonts w:ascii="宋体" w:hAnsi="宋体" w:eastAsia="宋体" w:cs="Times New Roman"/>
                <w:color w:val="auto"/>
                <w:sz w:val="21"/>
                <w:szCs w:val="21"/>
                <w:highlight w:val="none"/>
              </w:rPr>
            </w:pPr>
          </w:p>
        </w:tc>
        <w:tc>
          <w:tcPr>
            <w:tcW w:w="1656" w:type="dxa"/>
            <w:vAlign w:val="center"/>
          </w:tcPr>
          <w:p>
            <w:pPr>
              <w:spacing w:after="0"/>
              <w:jc w:val="center"/>
              <w:rPr>
                <w:rFonts w:ascii="宋体" w:hAnsi="宋体" w:eastAsia="宋体" w:cs="Times New Roman"/>
                <w:color w:val="auto"/>
                <w:sz w:val="21"/>
                <w:szCs w:val="21"/>
                <w:highlight w:val="none"/>
              </w:rPr>
            </w:pPr>
          </w:p>
        </w:tc>
        <w:tc>
          <w:tcPr>
            <w:tcW w:w="1305" w:type="dxa"/>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highlight w:val="none"/>
              </w:rPr>
            </w:pPr>
          </w:p>
        </w:tc>
        <w:tc>
          <w:tcPr>
            <w:tcW w:w="1775" w:type="dxa"/>
            <w:vAlign w:val="center"/>
          </w:tcPr>
          <w:p>
            <w:pPr>
              <w:spacing w:after="0"/>
              <w:jc w:val="center"/>
              <w:rPr>
                <w:rFonts w:ascii="宋体" w:hAnsi="宋体" w:eastAsia="宋体" w:cs="Times New Roman"/>
                <w:color w:val="auto"/>
                <w:sz w:val="21"/>
                <w:szCs w:val="21"/>
                <w:highlight w:val="none"/>
              </w:rPr>
            </w:pPr>
          </w:p>
        </w:tc>
        <w:tc>
          <w:tcPr>
            <w:tcW w:w="1618" w:type="dxa"/>
            <w:vAlign w:val="center"/>
          </w:tcPr>
          <w:p>
            <w:pPr>
              <w:spacing w:after="0"/>
              <w:jc w:val="center"/>
              <w:rPr>
                <w:rFonts w:ascii="宋体" w:hAnsi="宋体" w:eastAsia="宋体" w:cs="Times New Roman"/>
                <w:color w:val="auto"/>
                <w:sz w:val="21"/>
                <w:szCs w:val="21"/>
                <w:highlight w:val="none"/>
              </w:rPr>
            </w:pPr>
          </w:p>
        </w:tc>
        <w:tc>
          <w:tcPr>
            <w:tcW w:w="1217" w:type="dxa"/>
            <w:vAlign w:val="center"/>
          </w:tcPr>
          <w:p>
            <w:pPr>
              <w:spacing w:after="0"/>
              <w:jc w:val="center"/>
              <w:rPr>
                <w:rFonts w:ascii="宋体" w:hAnsi="宋体" w:eastAsia="宋体" w:cs="Times New Roman"/>
                <w:color w:val="auto"/>
                <w:sz w:val="21"/>
                <w:szCs w:val="21"/>
                <w:highlight w:val="none"/>
              </w:rPr>
            </w:pPr>
          </w:p>
        </w:tc>
        <w:tc>
          <w:tcPr>
            <w:tcW w:w="1656" w:type="dxa"/>
            <w:vAlign w:val="center"/>
          </w:tcPr>
          <w:p>
            <w:pPr>
              <w:spacing w:after="0"/>
              <w:jc w:val="center"/>
              <w:rPr>
                <w:rFonts w:ascii="宋体" w:hAnsi="宋体" w:eastAsia="宋体" w:cs="Times New Roman"/>
                <w:color w:val="auto"/>
                <w:sz w:val="21"/>
                <w:szCs w:val="21"/>
                <w:highlight w:val="none"/>
              </w:rPr>
            </w:pPr>
          </w:p>
        </w:tc>
        <w:tc>
          <w:tcPr>
            <w:tcW w:w="1305" w:type="dxa"/>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highlight w:val="none"/>
              </w:rPr>
            </w:pPr>
          </w:p>
        </w:tc>
        <w:tc>
          <w:tcPr>
            <w:tcW w:w="1775" w:type="dxa"/>
            <w:vAlign w:val="center"/>
          </w:tcPr>
          <w:p>
            <w:pPr>
              <w:spacing w:after="0"/>
              <w:jc w:val="center"/>
              <w:rPr>
                <w:rFonts w:ascii="宋体" w:hAnsi="宋体" w:eastAsia="宋体" w:cs="Times New Roman"/>
                <w:color w:val="auto"/>
                <w:sz w:val="21"/>
                <w:szCs w:val="21"/>
                <w:highlight w:val="none"/>
              </w:rPr>
            </w:pPr>
          </w:p>
        </w:tc>
        <w:tc>
          <w:tcPr>
            <w:tcW w:w="1618" w:type="dxa"/>
            <w:vAlign w:val="center"/>
          </w:tcPr>
          <w:p>
            <w:pPr>
              <w:spacing w:after="0"/>
              <w:jc w:val="center"/>
              <w:rPr>
                <w:rFonts w:ascii="宋体" w:hAnsi="宋体" w:eastAsia="宋体" w:cs="Times New Roman"/>
                <w:color w:val="auto"/>
                <w:sz w:val="21"/>
                <w:szCs w:val="21"/>
                <w:highlight w:val="none"/>
              </w:rPr>
            </w:pPr>
          </w:p>
        </w:tc>
        <w:tc>
          <w:tcPr>
            <w:tcW w:w="1217" w:type="dxa"/>
            <w:vAlign w:val="center"/>
          </w:tcPr>
          <w:p>
            <w:pPr>
              <w:spacing w:after="0"/>
              <w:jc w:val="center"/>
              <w:rPr>
                <w:rFonts w:ascii="宋体" w:hAnsi="宋体" w:eastAsia="宋体" w:cs="Times New Roman"/>
                <w:color w:val="auto"/>
                <w:sz w:val="21"/>
                <w:szCs w:val="21"/>
                <w:highlight w:val="none"/>
              </w:rPr>
            </w:pPr>
          </w:p>
        </w:tc>
        <w:tc>
          <w:tcPr>
            <w:tcW w:w="1656" w:type="dxa"/>
            <w:vAlign w:val="center"/>
          </w:tcPr>
          <w:p>
            <w:pPr>
              <w:spacing w:after="0"/>
              <w:jc w:val="center"/>
              <w:rPr>
                <w:rFonts w:ascii="宋体" w:hAnsi="宋体" w:eastAsia="宋体" w:cs="Times New Roman"/>
                <w:color w:val="auto"/>
                <w:sz w:val="21"/>
                <w:szCs w:val="21"/>
                <w:highlight w:val="none"/>
              </w:rPr>
            </w:pPr>
          </w:p>
        </w:tc>
        <w:tc>
          <w:tcPr>
            <w:tcW w:w="1305" w:type="dxa"/>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highlight w:val="none"/>
              </w:rPr>
            </w:pPr>
          </w:p>
        </w:tc>
        <w:tc>
          <w:tcPr>
            <w:tcW w:w="1775" w:type="dxa"/>
            <w:vAlign w:val="center"/>
          </w:tcPr>
          <w:p>
            <w:pPr>
              <w:spacing w:after="0"/>
              <w:jc w:val="center"/>
              <w:rPr>
                <w:rFonts w:ascii="宋体" w:hAnsi="宋体" w:eastAsia="宋体" w:cs="Times New Roman"/>
                <w:color w:val="auto"/>
                <w:sz w:val="21"/>
                <w:szCs w:val="21"/>
                <w:highlight w:val="none"/>
              </w:rPr>
            </w:pPr>
          </w:p>
        </w:tc>
        <w:tc>
          <w:tcPr>
            <w:tcW w:w="1618" w:type="dxa"/>
            <w:vAlign w:val="center"/>
          </w:tcPr>
          <w:p>
            <w:pPr>
              <w:spacing w:after="0"/>
              <w:jc w:val="center"/>
              <w:rPr>
                <w:rFonts w:ascii="宋体" w:hAnsi="宋体" w:eastAsia="宋体" w:cs="Times New Roman"/>
                <w:color w:val="auto"/>
                <w:sz w:val="21"/>
                <w:szCs w:val="21"/>
                <w:highlight w:val="none"/>
              </w:rPr>
            </w:pPr>
          </w:p>
        </w:tc>
        <w:tc>
          <w:tcPr>
            <w:tcW w:w="1217" w:type="dxa"/>
            <w:vAlign w:val="center"/>
          </w:tcPr>
          <w:p>
            <w:pPr>
              <w:spacing w:after="0"/>
              <w:jc w:val="center"/>
              <w:rPr>
                <w:rFonts w:ascii="宋体" w:hAnsi="宋体" w:eastAsia="宋体" w:cs="Times New Roman"/>
                <w:color w:val="auto"/>
                <w:sz w:val="21"/>
                <w:szCs w:val="21"/>
                <w:highlight w:val="none"/>
              </w:rPr>
            </w:pPr>
          </w:p>
        </w:tc>
        <w:tc>
          <w:tcPr>
            <w:tcW w:w="1656" w:type="dxa"/>
            <w:vAlign w:val="center"/>
          </w:tcPr>
          <w:p>
            <w:pPr>
              <w:spacing w:after="0"/>
              <w:jc w:val="center"/>
              <w:rPr>
                <w:rFonts w:ascii="宋体" w:hAnsi="宋体" w:eastAsia="宋体" w:cs="Times New Roman"/>
                <w:color w:val="auto"/>
                <w:sz w:val="21"/>
                <w:szCs w:val="21"/>
                <w:highlight w:val="none"/>
              </w:rPr>
            </w:pPr>
          </w:p>
        </w:tc>
        <w:tc>
          <w:tcPr>
            <w:tcW w:w="1305" w:type="dxa"/>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highlight w:val="none"/>
              </w:rPr>
            </w:pPr>
          </w:p>
        </w:tc>
        <w:tc>
          <w:tcPr>
            <w:tcW w:w="1775" w:type="dxa"/>
            <w:vAlign w:val="center"/>
          </w:tcPr>
          <w:p>
            <w:pPr>
              <w:spacing w:after="0"/>
              <w:jc w:val="center"/>
              <w:rPr>
                <w:rFonts w:ascii="宋体" w:hAnsi="宋体" w:eastAsia="宋体" w:cs="Times New Roman"/>
                <w:color w:val="auto"/>
                <w:sz w:val="21"/>
                <w:szCs w:val="21"/>
                <w:highlight w:val="none"/>
              </w:rPr>
            </w:pPr>
          </w:p>
        </w:tc>
        <w:tc>
          <w:tcPr>
            <w:tcW w:w="1618" w:type="dxa"/>
            <w:vAlign w:val="center"/>
          </w:tcPr>
          <w:p>
            <w:pPr>
              <w:spacing w:after="0"/>
              <w:jc w:val="center"/>
              <w:rPr>
                <w:rFonts w:ascii="宋体" w:hAnsi="宋体" w:eastAsia="宋体" w:cs="Times New Roman"/>
                <w:color w:val="auto"/>
                <w:sz w:val="21"/>
                <w:szCs w:val="21"/>
                <w:highlight w:val="none"/>
              </w:rPr>
            </w:pPr>
          </w:p>
        </w:tc>
        <w:tc>
          <w:tcPr>
            <w:tcW w:w="1217" w:type="dxa"/>
            <w:vAlign w:val="center"/>
          </w:tcPr>
          <w:p>
            <w:pPr>
              <w:spacing w:after="0"/>
              <w:jc w:val="center"/>
              <w:rPr>
                <w:rFonts w:ascii="宋体" w:hAnsi="宋体" w:eastAsia="宋体" w:cs="Times New Roman"/>
                <w:color w:val="auto"/>
                <w:sz w:val="21"/>
                <w:szCs w:val="21"/>
                <w:highlight w:val="none"/>
              </w:rPr>
            </w:pPr>
          </w:p>
        </w:tc>
        <w:tc>
          <w:tcPr>
            <w:tcW w:w="1656" w:type="dxa"/>
            <w:vAlign w:val="center"/>
          </w:tcPr>
          <w:p>
            <w:pPr>
              <w:spacing w:after="0"/>
              <w:jc w:val="center"/>
              <w:rPr>
                <w:rFonts w:ascii="宋体" w:hAnsi="宋体" w:eastAsia="宋体" w:cs="Times New Roman"/>
                <w:color w:val="auto"/>
                <w:sz w:val="21"/>
                <w:szCs w:val="21"/>
                <w:highlight w:val="none"/>
              </w:rPr>
            </w:pPr>
          </w:p>
        </w:tc>
        <w:tc>
          <w:tcPr>
            <w:tcW w:w="1305" w:type="dxa"/>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highlight w:val="none"/>
              </w:rPr>
            </w:pPr>
          </w:p>
        </w:tc>
        <w:tc>
          <w:tcPr>
            <w:tcW w:w="1775" w:type="dxa"/>
            <w:vAlign w:val="center"/>
          </w:tcPr>
          <w:p>
            <w:pPr>
              <w:spacing w:after="0"/>
              <w:jc w:val="center"/>
              <w:rPr>
                <w:rFonts w:ascii="宋体" w:hAnsi="宋体" w:eastAsia="宋体" w:cs="Times New Roman"/>
                <w:color w:val="auto"/>
                <w:sz w:val="21"/>
                <w:szCs w:val="21"/>
                <w:highlight w:val="none"/>
              </w:rPr>
            </w:pPr>
          </w:p>
        </w:tc>
        <w:tc>
          <w:tcPr>
            <w:tcW w:w="1618" w:type="dxa"/>
            <w:vAlign w:val="center"/>
          </w:tcPr>
          <w:p>
            <w:pPr>
              <w:spacing w:after="0"/>
              <w:jc w:val="center"/>
              <w:rPr>
                <w:rFonts w:ascii="宋体" w:hAnsi="宋体" w:eastAsia="宋体" w:cs="Times New Roman"/>
                <w:color w:val="auto"/>
                <w:sz w:val="21"/>
                <w:szCs w:val="21"/>
                <w:highlight w:val="none"/>
              </w:rPr>
            </w:pPr>
          </w:p>
        </w:tc>
        <w:tc>
          <w:tcPr>
            <w:tcW w:w="1217" w:type="dxa"/>
            <w:vAlign w:val="center"/>
          </w:tcPr>
          <w:p>
            <w:pPr>
              <w:spacing w:after="0"/>
              <w:jc w:val="center"/>
              <w:rPr>
                <w:rFonts w:ascii="宋体" w:hAnsi="宋体" w:eastAsia="宋体" w:cs="Times New Roman"/>
                <w:color w:val="auto"/>
                <w:sz w:val="21"/>
                <w:szCs w:val="21"/>
                <w:highlight w:val="none"/>
              </w:rPr>
            </w:pPr>
          </w:p>
        </w:tc>
        <w:tc>
          <w:tcPr>
            <w:tcW w:w="1656" w:type="dxa"/>
            <w:vAlign w:val="center"/>
          </w:tcPr>
          <w:p>
            <w:pPr>
              <w:spacing w:after="0"/>
              <w:jc w:val="center"/>
              <w:rPr>
                <w:rFonts w:ascii="宋体" w:hAnsi="宋体" w:eastAsia="宋体" w:cs="Times New Roman"/>
                <w:color w:val="auto"/>
                <w:sz w:val="21"/>
                <w:szCs w:val="21"/>
                <w:highlight w:val="none"/>
              </w:rPr>
            </w:pPr>
          </w:p>
        </w:tc>
        <w:tc>
          <w:tcPr>
            <w:tcW w:w="1305" w:type="dxa"/>
            <w:vAlign w:val="center"/>
          </w:tcPr>
          <w:p>
            <w:pPr>
              <w:spacing w:after="0"/>
              <w:jc w:val="center"/>
              <w:rPr>
                <w:rFonts w:ascii="宋体" w:hAnsi="宋体" w:eastAsia="宋体" w:cs="Times New Roman"/>
                <w:color w:val="auto"/>
                <w:sz w:val="21"/>
                <w:szCs w:val="21"/>
                <w:highlight w:val="none"/>
              </w:rPr>
            </w:pPr>
          </w:p>
        </w:tc>
      </w:tr>
    </w:tbl>
    <w:p>
      <w:pPr>
        <w:spacing w:after="0"/>
        <w:rPr>
          <w:rFonts w:ascii="宋体" w:hAnsi="宋体" w:eastAsia="宋体" w:cs="Times New Roman"/>
          <w:color w:val="auto"/>
          <w:sz w:val="21"/>
          <w:szCs w:val="21"/>
          <w:highlight w:val="none"/>
        </w:rPr>
      </w:pP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投标人代表签字：</w:t>
      </w: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投标人盖章：</w:t>
      </w:r>
    </w:p>
    <w:p>
      <w:pPr>
        <w:rPr>
          <w:rFonts w:ascii="宋体" w:hAnsi="宋体" w:eastAsia="宋体" w:cs="Times New Roman"/>
          <w:color w:val="auto"/>
          <w:sz w:val="21"/>
          <w:szCs w:val="21"/>
          <w:highlight w:val="none"/>
        </w:rPr>
      </w:pP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注：</w:t>
      </w:r>
    </w:p>
    <w:p>
      <w:pPr>
        <w:pStyle w:val="24"/>
        <w:ind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1、投标人可按项目的实际需要提供本表格。</w:t>
      </w:r>
    </w:p>
    <w:p>
      <w:pPr>
        <w:pStyle w:val="24"/>
        <w:ind w:firstLine="0" w:firstLineChars="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2、该表格为参考格式，投标人可按实际情况自行制订。</w:t>
      </w:r>
    </w:p>
    <w:p>
      <w:pPr>
        <w:pStyle w:val="24"/>
        <w:ind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3、如本项目不涉及此表内容，则无需提供此表。</w:t>
      </w:r>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楷体_GB2312" w:eastAsia="楷体_GB2312"/>
          <w:color w:val="auto"/>
          <w:sz w:val="24"/>
          <w:highlight w:val="none"/>
        </w:rPr>
      </w:pPr>
      <w:bookmarkStart w:id="165" w:name="_Toc10094"/>
      <w:r>
        <w:rPr>
          <w:rFonts w:hint="eastAsia" w:ascii="宋体" w:hAnsi="宋体" w:eastAsia="宋体"/>
          <w:color w:val="auto"/>
          <w:sz w:val="21"/>
          <w:szCs w:val="21"/>
          <w:highlight w:val="none"/>
        </w:rPr>
        <w:t>附件17.在经营活动中没有重大违法记录的书面声明格式</w:t>
      </w:r>
      <w:bookmarkEnd w:id="165"/>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投标人在参与政府采购活动前三年未有重大违法记录、没有不良信用记录的声明函</w:t>
      </w:r>
    </w:p>
    <w:p>
      <w:pPr>
        <w:spacing w:after="0" w:line="360" w:lineRule="auto"/>
        <w:ind w:firstLine="420" w:firstLineChars="200"/>
        <w:rPr>
          <w:rFonts w:ascii="宋体" w:hAnsi="宋体" w:eastAsia="宋体" w:cs="宋体"/>
          <w:color w:val="auto"/>
          <w:sz w:val="21"/>
          <w:szCs w:val="21"/>
          <w:highlight w:val="none"/>
        </w:rPr>
      </w:pP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广东三方诚信招标有限公司东莞分公司：</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我公司郑重承诺：在参加“</w:t>
      </w:r>
      <w:r>
        <w:rPr>
          <w:rFonts w:hint="eastAsia" w:ascii="宋体" w:hAnsi="宋体" w:eastAsia="宋体" w:cs="宋体"/>
          <w:color w:val="auto"/>
          <w:sz w:val="21"/>
          <w:szCs w:val="21"/>
          <w:highlight w:val="none"/>
          <w:u w:val="single"/>
        </w:rPr>
        <w:t xml:space="preserve">       （采购项目名称）</w:t>
      </w:r>
      <w:r>
        <w:rPr>
          <w:rFonts w:hint="eastAsia" w:ascii="宋体" w:hAnsi="宋体" w:eastAsia="宋体" w:cs="宋体"/>
          <w:color w:val="auto"/>
          <w:sz w:val="21"/>
          <w:szCs w:val="21"/>
          <w:highlight w:val="none"/>
        </w:rPr>
        <w:t>” （项目编号: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政府采购活动前三年内（设立不满三年的从设立之日计算），在经营活动中没有重大违法记录；至本项目提交投标文件截止时间止未被列入“信用中国”网站及“中国政府采购网”失信被执行人、重大税收违法案件当事人名单、政府采购严重违法失信行为记录名单。</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我公司以上承诺均为真实有效，绝无任何虚假、伪造的成份，否则，愿承担相应的后果和法律责任。</w:t>
      </w:r>
    </w:p>
    <w:p>
      <w:pPr>
        <w:spacing w:after="0" w:line="360" w:lineRule="auto"/>
        <w:ind w:firstLine="420" w:firstLineChars="200"/>
        <w:rPr>
          <w:rFonts w:ascii="宋体" w:hAnsi="宋体" w:eastAsia="宋体" w:cs="宋体"/>
          <w:color w:val="auto"/>
          <w:sz w:val="21"/>
          <w:szCs w:val="21"/>
          <w:highlight w:val="none"/>
        </w:rPr>
      </w:pPr>
    </w:p>
    <w:p>
      <w:pPr>
        <w:spacing w:after="0" w:line="360" w:lineRule="auto"/>
        <w:rPr>
          <w:rFonts w:ascii="宋体" w:hAnsi="宋体" w:eastAsia="宋体" w:cs="宋体"/>
          <w:color w:val="auto"/>
          <w:sz w:val="21"/>
          <w:szCs w:val="21"/>
          <w:highlight w:val="none"/>
        </w:rPr>
      </w:pP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投标人名称（盖章）：</w:t>
      </w:r>
    </w:p>
    <w:p>
      <w:pPr>
        <w:spacing w:after="0" w:line="360" w:lineRule="auto"/>
        <w:rPr>
          <w:rFonts w:ascii="宋体" w:hAnsi="宋体" w:eastAsia="宋体" w:cs="宋体"/>
          <w:color w:val="auto"/>
          <w:sz w:val="21"/>
          <w:szCs w:val="21"/>
          <w:highlight w:val="none"/>
        </w:rPr>
      </w:pP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p>
    <w:p>
      <w:pPr>
        <w:adjustRightInd/>
        <w:snapToGrid/>
        <w:spacing w:line="276" w:lineRule="auto"/>
        <w:rPr>
          <w:rFonts w:ascii="楷体_GB2312" w:eastAsia="楷体_GB2312" w:hAnsiTheme="majorHAnsi" w:cstheme="majorBidi"/>
          <w:b/>
          <w:bCs/>
          <w:color w:val="auto"/>
          <w:sz w:val="24"/>
          <w:szCs w:val="28"/>
          <w:highlight w:val="none"/>
        </w:rPr>
      </w:pPr>
      <w:bookmarkStart w:id="166" w:name="_Toc417907703"/>
      <w:r>
        <w:rPr>
          <w:rFonts w:ascii="楷体_GB2312" w:eastAsia="楷体_GB2312"/>
          <w:color w:val="auto"/>
          <w:sz w:val="24"/>
          <w:highlight w:val="none"/>
        </w:rPr>
        <w:br w:type="page"/>
      </w:r>
    </w:p>
    <w:p>
      <w:pPr>
        <w:pStyle w:val="5"/>
        <w:widowControl w:val="0"/>
        <w:overflowPunct w:val="0"/>
        <w:spacing w:before="0" w:after="0" w:line="240" w:lineRule="auto"/>
        <w:rPr>
          <w:color w:val="auto"/>
          <w:highlight w:val="none"/>
        </w:rPr>
      </w:pPr>
      <w:bookmarkStart w:id="167" w:name="_Toc21223"/>
      <w:r>
        <w:rPr>
          <w:rFonts w:hint="eastAsia" w:ascii="宋体" w:hAnsi="宋体" w:eastAsia="宋体"/>
          <w:color w:val="auto"/>
          <w:sz w:val="21"/>
          <w:szCs w:val="21"/>
          <w:highlight w:val="none"/>
        </w:rPr>
        <w:t>附件18. 中小企业声明函（投标人为中小企业时适用）</w:t>
      </w:r>
      <w:bookmarkEnd w:id="166"/>
      <w:bookmarkEnd w:id="167"/>
    </w:p>
    <w:p>
      <w:pPr>
        <w:jc w:val="center"/>
        <w:rPr>
          <w:rFonts w:ascii="微软雅黑" w:hAnsi="微软雅黑" w:cs="微软雅黑"/>
          <w:b/>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中小企业声明函</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本公司郑重声明，根据《政府采购促进中小企业发展暂行办法》（财库[2011]181号）的规定，本公司为</w:t>
      </w:r>
      <w:r>
        <w:rPr>
          <w:rFonts w:hint="eastAsia" w:ascii="宋体" w:hAnsi="宋体" w:eastAsia="宋体"/>
          <w:color w:val="auto"/>
          <w:sz w:val="21"/>
          <w:szCs w:val="21"/>
          <w:highlight w:val="none"/>
          <w:u w:val="single"/>
        </w:rPr>
        <w:t>　（请填写：中型、小型、微型）　</w:t>
      </w:r>
      <w:r>
        <w:rPr>
          <w:rFonts w:hint="eastAsia" w:ascii="宋体" w:hAnsi="宋体" w:eastAsia="宋体"/>
          <w:color w:val="auto"/>
          <w:sz w:val="21"/>
          <w:szCs w:val="21"/>
          <w:highlight w:val="none"/>
        </w:rPr>
        <w:t>企业。即，本公司同时满足以下条件：</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olor w:val="auto"/>
          <w:sz w:val="21"/>
          <w:szCs w:val="21"/>
          <w:highlight w:val="none"/>
          <w:u w:val="single"/>
        </w:rPr>
        <w:t>　（请填写：中型、小型、微型）　</w:t>
      </w:r>
      <w:r>
        <w:rPr>
          <w:rFonts w:hint="eastAsia" w:ascii="宋体" w:hAnsi="宋体" w:eastAsia="宋体"/>
          <w:color w:val="auto"/>
          <w:sz w:val="21"/>
          <w:szCs w:val="21"/>
          <w:highlight w:val="none"/>
        </w:rPr>
        <w:t>企业。</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2、本公司参加</w:t>
      </w:r>
      <w:r>
        <w:rPr>
          <w:rFonts w:hint="eastAsia" w:ascii="宋体" w:hAnsi="宋体" w:eastAsia="宋体"/>
          <w:color w:val="auto"/>
          <w:sz w:val="21"/>
          <w:szCs w:val="21"/>
          <w:highlight w:val="none"/>
          <w:u w:val="single"/>
        </w:rPr>
        <w:t>　　（采购人）　　</w:t>
      </w:r>
      <w:r>
        <w:rPr>
          <w:rFonts w:hint="eastAsia" w:ascii="宋体" w:hAnsi="宋体" w:eastAsia="宋体"/>
          <w:color w:val="auto"/>
          <w:sz w:val="21"/>
          <w:szCs w:val="21"/>
          <w:highlight w:val="none"/>
        </w:rPr>
        <w:t>的</w:t>
      </w:r>
      <w:r>
        <w:rPr>
          <w:rFonts w:hint="eastAsia" w:ascii="宋体" w:hAnsi="宋体" w:eastAsia="宋体"/>
          <w:color w:val="auto"/>
          <w:sz w:val="21"/>
          <w:szCs w:val="21"/>
          <w:highlight w:val="none"/>
          <w:u w:val="single"/>
        </w:rPr>
        <w:t>　　（采购项目）　　</w:t>
      </w:r>
      <w:r>
        <w:rPr>
          <w:rFonts w:hint="eastAsia" w:ascii="宋体" w:hAnsi="宋体" w:eastAsia="宋体"/>
          <w:color w:val="auto"/>
          <w:sz w:val="21"/>
          <w:szCs w:val="21"/>
          <w:highlight w:val="none"/>
        </w:rPr>
        <w:t>采购活动提供本企业制造的货物，由本企业承担工程、提供服务，或者提供其他</w:t>
      </w:r>
      <w:r>
        <w:rPr>
          <w:rFonts w:hint="eastAsia" w:ascii="宋体" w:hAnsi="宋体" w:eastAsia="宋体"/>
          <w:color w:val="auto"/>
          <w:sz w:val="21"/>
          <w:szCs w:val="21"/>
          <w:highlight w:val="none"/>
          <w:u w:val="single"/>
        </w:rPr>
        <w:t>　（请填写：中型、小型、微型）　</w:t>
      </w:r>
      <w:r>
        <w:rPr>
          <w:rFonts w:hint="eastAsia" w:ascii="宋体" w:hAnsi="宋体" w:eastAsia="宋体"/>
          <w:color w:val="auto"/>
          <w:sz w:val="21"/>
          <w:szCs w:val="21"/>
          <w:highlight w:val="none"/>
        </w:rPr>
        <w:t>企业制造的货物。本条所称货物不包括使用大型企业注册商标的货物。</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本公司对上述声明的真实性负责。如有虚假，将依法承担相应责任。</w:t>
      </w:r>
    </w:p>
    <w:p>
      <w:pPr>
        <w:spacing w:after="0" w:line="480" w:lineRule="auto"/>
        <w:jc w:val="right"/>
        <w:rPr>
          <w:rFonts w:ascii="宋体" w:hAnsi="宋体" w:eastAsia="宋体"/>
          <w:color w:val="auto"/>
          <w:sz w:val="21"/>
          <w:szCs w:val="21"/>
          <w:highlight w:val="none"/>
        </w:rPr>
      </w:pPr>
      <w:r>
        <w:rPr>
          <w:rFonts w:hint="eastAsia" w:ascii="宋体" w:hAnsi="宋体" w:eastAsia="宋体"/>
          <w:color w:val="auto"/>
          <w:sz w:val="21"/>
          <w:szCs w:val="21"/>
          <w:highlight w:val="none"/>
        </w:rPr>
        <w:t>投标人名称（加盖公章）：</w:t>
      </w:r>
    </w:p>
    <w:p>
      <w:pPr>
        <w:spacing w:after="0" w:line="480" w:lineRule="auto"/>
        <w:jc w:val="right"/>
        <w:rPr>
          <w:rFonts w:ascii="宋体" w:hAnsi="宋体" w:eastAsia="宋体"/>
          <w:color w:val="auto"/>
          <w:sz w:val="21"/>
          <w:szCs w:val="21"/>
          <w:highlight w:val="none"/>
        </w:rPr>
      </w:pPr>
      <w:r>
        <w:rPr>
          <w:rFonts w:hint="eastAsia" w:ascii="宋体" w:hAnsi="宋体" w:eastAsia="宋体"/>
          <w:color w:val="auto"/>
          <w:sz w:val="21"/>
          <w:szCs w:val="21"/>
          <w:highlight w:val="none"/>
        </w:rPr>
        <w:t>日      期：</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投标人应根据《关于印发中小企业划型标准规定的通知》（工信部联企业[2011]300号）的有关规定如实填写此表。（监狱企业视同小型、微型企业，监狱企业参加政府采购活动时，应当提供由省级以上监狱管理局、戒毒管理局(含新疆生产建设兵团)出具的属于监狱企业的证明文件）</w:t>
      </w:r>
    </w:p>
    <w:p>
      <w:pPr>
        <w:spacing w:after="0" w:line="480" w:lineRule="auto"/>
        <w:ind w:firstLine="422" w:firstLineChars="20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2、若投标人不属于规定的中小企业范围，或提供的产品不是中小企业制造的，</w:t>
      </w:r>
      <w:r>
        <w:rPr>
          <w:rFonts w:hint="eastAsia" w:ascii="宋体" w:hAnsi="宋体" w:eastAsia="宋体"/>
          <w:b/>
          <w:bCs/>
          <w:color w:val="auto"/>
          <w:sz w:val="21"/>
          <w:szCs w:val="21"/>
          <w:highlight w:val="none"/>
          <w:lang w:eastAsia="zh-CN"/>
        </w:rPr>
        <w:t>则无需提供此表</w:t>
      </w:r>
      <w:r>
        <w:rPr>
          <w:rFonts w:hint="eastAsia" w:ascii="宋体" w:hAnsi="宋体" w:eastAsia="宋体"/>
          <w:b/>
          <w:bCs/>
          <w:color w:val="auto"/>
          <w:sz w:val="21"/>
          <w:szCs w:val="21"/>
          <w:highlight w:val="none"/>
        </w:rPr>
        <w:t>。</w:t>
      </w:r>
    </w:p>
    <w:p>
      <w:pPr>
        <w:spacing w:after="0" w:line="480" w:lineRule="auto"/>
        <w:ind w:firstLine="420" w:firstLineChars="200"/>
        <w:rPr>
          <w:rFonts w:ascii="楷体_GB2312" w:eastAsia="楷体_GB2312"/>
          <w:color w:val="auto"/>
          <w:sz w:val="24"/>
          <w:highlight w:val="none"/>
        </w:rPr>
      </w:pPr>
      <w:r>
        <w:rPr>
          <w:rFonts w:hint="eastAsia" w:ascii="宋体" w:hAnsi="宋体" w:eastAsia="宋体"/>
          <w:color w:val="auto"/>
          <w:sz w:val="21"/>
          <w:szCs w:val="21"/>
          <w:highlight w:val="none"/>
        </w:rPr>
        <w:t>3、投标人应该在《报价明细表》中单独列明属于小型和微型企业产品（货物、承担的工程或者服务）的报价，若投标人只提供《中小企业声明函》但未列明小型或微型企业产品的，在计算价格得分时不予以相应的扣除。</w:t>
      </w:r>
    </w:p>
    <w:p>
      <w:pPr>
        <w:rPr>
          <w:rFonts w:ascii="楷体_GB2312" w:eastAsia="楷体_GB2312"/>
          <w:color w:val="auto"/>
          <w:sz w:val="24"/>
          <w:highlight w:val="none"/>
        </w:rPr>
      </w:pPr>
    </w:p>
    <w:p>
      <w:pPr>
        <w:adjustRightInd/>
        <w:snapToGrid/>
        <w:spacing w:line="276" w:lineRule="auto"/>
        <w:rPr>
          <w:rFonts w:ascii="楷体_GB2312" w:eastAsia="楷体_GB2312" w:hAnsiTheme="majorHAnsi" w:cstheme="majorBidi"/>
          <w:b/>
          <w:bCs/>
          <w:color w:val="auto"/>
          <w:sz w:val="24"/>
          <w:szCs w:val="28"/>
          <w:highlight w:val="none"/>
        </w:rPr>
      </w:pPr>
      <w:r>
        <w:rPr>
          <w:rFonts w:ascii="楷体_GB2312" w:eastAsia="楷体_GB2312"/>
          <w:color w:val="auto"/>
          <w:sz w:val="24"/>
          <w:highlight w:val="none"/>
        </w:rPr>
        <w:br w:type="page"/>
      </w:r>
    </w:p>
    <w:p>
      <w:pPr>
        <w:pStyle w:val="5"/>
        <w:widowControl w:val="0"/>
        <w:overflowPunct w:val="0"/>
        <w:spacing w:before="0" w:after="0" w:line="240" w:lineRule="auto"/>
        <w:rPr>
          <w:rFonts w:ascii="楷体_GB2312" w:eastAsia="楷体_GB2312"/>
          <w:color w:val="auto"/>
          <w:sz w:val="24"/>
          <w:highlight w:val="none"/>
        </w:rPr>
      </w:pPr>
      <w:bookmarkStart w:id="168" w:name="_Toc28081"/>
      <w:r>
        <w:rPr>
          <w:rFonts w:hint="eastAsia" w:ascii="宋体" w:hAnsi="宋体" w:eastAsia="宋体"/>
          <w:color w:val="auto"/>
          <w:sz w:val="21"/>
          <w:szCs w:val="21"/>
          <w:highlight w:val="none"/>
        </w:rPr>
        <w:t>附件19.《残疾人福利性单位声明函》（残疾人福利性单位适用）</w:t>
      </w:r>
      <w:bookmarkEnd w:id="168"/>
    </w:p>
    <w:p>
      <w:pPr>
        <w:jc w:val="cente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残疾人福利性单位声明函</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本单位对上述声明的真实性负责。如有虚假，将依法承担相应责任。</w:t>
      </w:r>
    </w:p>
    <w:p>
      <w:pPr>
        <w:spacing w:after="0" w:line="480" w:lineRule="auto"/>
        <w:jc w:val="right"/>
        <w:rPr>
          <w:rFonts w:ascii="宋体" w:hAnsi="宋体" w:eastAsia="宋体"/>
          <w:color w:val="auto"/>
          <w:sz w:val="21"/>
          <w:szCs w:val="21"/>
          <w:highlight w:val="none"/>
        </w:rPr>
      </w:pPr>
    </w:p>
    <w:p>
      <w:pPr>
        <w:spacing w:after="0" w:line="480" w:lineRule="auto"/>
        <w:jc w:val="right"/>
        <w:rPr>
          <w:rFonts w:ascii="宋体" w:hAnsi="宋体" w:eastAsia="宋体"/>
          <w:color w:val="auto"/>
          <w:sz w:val="21"/>
          <w:szCs w:val="21"/>
          <w:highlight w:val="none"/>
        </w:rPr>
      </w:pPr>
      <w:r>
        <w:rPr>
          <w:rFonts w:hint="eastAsia" w:ascii="宋体" w:hAnsi="宋体" w:eastAsia="宋体"/>
          <w:color w:val="auto"/>
          <w:sz w:val="21"/>
          <w:szCs w:val="21"/>
          <w:highlight w:val="none"/>
        </w:rPr>
        <w:t>单位名称（盖章）：</w:t>
      </w:r>
      <w:bookmarkStart w:id="169" w:name="_Toc509479530"/>
      <w:bookmarkStart w:id="170" w:name="_Toc22970"/>
      <w:bookmarkStart w:id="171" w:name="_Toc510171693"/>
      <w:bookmarkStart w:id="172" w:name="_Toc30277"/>
      <w:bookmarkStart w:id="173" w:name="_Toc20910"/>
      <w:bookmarkStart w:id="174" w:name="_Toc508898066"/>
      <w:bookmarkStart w:id="175" w:name="_Toc508960153"/>
      <w:bookmarkStart w:id="176" w:name="_Toc30247"/>
      <w:bookmarkStart w:id="177" w:name="_Toc509927455"/>
      <w:bookmarkStart w:id="178" w:name="_Toc17761"/>
      <w:bookmarkStart w:id="179" w:name="_Toc508958703"/>
      <w:bookmarkStart w:id="180" w:name="_Toc509844825"/>
    </w:p>
    <w:p>
      <w:pPr>
        <w:spacing w:after="0" w:line="480" w:lineRule="auto"/>
        <w:jc w:val="right"/>
        <w:rPr>
          <w:rFonts w:ascii="宋体" w:hAnsi="宋体" w:eastAsia="宋体"/>
          <w:color w:val="auto"/>
          <w:sz w:val="21"/>
          <w:szCs w:val="21"/>
          <w:highlight w:val="none"/>
        </w:rPr>
      </w:pPr>
    </w:p>
    <w:p>
      <w:pPr>
        <w:spacing w:after="0" w:line="480" w:lineRule="auto"/>
        <w:jc w:val="right"/>
        <w:rPr>
          <w:rFonts w:ascii="宋体" w:hAnsi="宋体" w:eastAsia="宋体"/>
          <w:color w:val="auto"/>
          <w:sz w:val="21"/>
          <w:szCs w:val="21"/>
          <w:highlight w:val="none"/>
        </w:rPr>
      </w:pPr>
      <w:r>
        <w:rPr>
          <w:rFonts w:hint="eastAsia" w:ascii="宋体" w:hAnsi="宋体" w:eastAsia="宋体"/>
          <w:color w:val="auto"/>
          <w:sz w:val="21"/>
          <w:szCs w:val="21"/>
          <w:highlight w:val="none"/>
        </w:rPr>
        <w:t>日  期：</w:t>
      </w:r>
      <w:bookmarkEnd w:id="169"/>
      <w:bookmarkEnd w:id="170"/>
      <w:bookmarkEnd w:id="171"/>
      <w:bookmarkEnd w:id="172"/>
      <w:bookmarkEnd w:id="173"/>
      <w:bookmarkEnd w:id="174"/>
      <w:bookmarkEnd w:id="175"/>
      <w:bookmarkEnd w:id="176"/>
      <w:bookmarkEnd w:id="177"/>
      <w:bookmarkEnd w:id="178"/>
      <w:bookmarkEnd w:id="179"/>
      <w:bookmarkEnd w:id="180"/>
    </w:p>
    <w:p>
      <w:pPr>
        <w:pStyle w:val="2"/>
        <w:rPr>
          <w:color w:val="auto"/>
          <w:highlight w:val="none"/>
        </w:rPr>
      </w:pPr>
    </w:p>
    <w:p>
      <w:pPr>
        <w:spacing w:after="0" w:line="480" w:lineRule="auto"/>
        <w:ind w:firstLine="420" w:firstLineChars="200"/>
        <w:rPr>
          <w:rFonts w:ascii="宋体" w:hAnsi="宋体" w:eastAsia="宋体"/>
          <w:color w:val="auto"/>
          <w:sz w:val="21"/>
          <w:szCs w:val="21"/>
          <w:highlight w:val="none"/>
        </w:rPr>
      </w:pPr>
      <w:bookmarkStart w:id="181" w:name="_Toc509479531"/>
      <w:bookmarkStart w:id="182" w:name="_Toc508898067"/>
      <w:bookmarkStart w:id="183" w:name="_Toc510171694"/>
      <w:bookmarkStart w:id="184" w:name="_Toc21053"/>
      <w:bookmarkStart w:id="185" w:name="_Toc31520"/>
      <w:bookmarkStart w:id="186" w:name="_Toc26216"/>
      <w:bookmarkStart w:id="187" w:name="_Toc508958704"/>
      <w:bookmarkStart w:id="188" w:name="_Toc509927456"/>
      <w:bookmarkStart w:id="189" w:name="_Toc5447"/>
      <w:bookmarkStart w:id="190" w:name="_Toc508960154"/>
      <w:bookmarkStart w:id="191" w:name="_Toc509844826"/>
      <w:bookmarkStart w:id="192" w:name="_Toc28527"/>
      <w:r>
        <w:rPr>
          <w:rFonts w:hint="eastAsia" w:ascii="宋体" w:hAnsi="宋体" w:eastAsia="宋体"/>
          <w:color w:val="auto"/>
          <w:sz w:val="21"/>
          <w:szCs w:val="21"/>
          <w:highlight w:val="none"/>
        </w:rPr>
        <w:t>注：（1）符合《财政部 民政部 中国残疾人联合会关于促进残疾人就业政府采购政策的通知》（财库〔2017〕 141号）规定条件的残疾人福利性单位应当提供《残疾人福利性单位声明函》。</w:t>
      </w:r>
      <w:bookmarkEnd w:id="181"/>
      <w:bookmarkEnd w:id="182"/>
      <w:bookmarkEnd w:id="183"/>
      <w:bookmarkEnd w:id="184"/>
      <w:bookmarkEnd w:id="185"/>
      <w:bookmarkEnd w:id="186"/>
      <w:bookmarkEnd w:id="187"/>
      <w:bookmarkEnd w:id="188"/>
      <w:bookmarkEnd w:id="189"/>
      <w:bookmarkEnd w:id="190"/>
      <w:bookmarkEnd w:id="191"/>
      <w:bookmarkEnd w:id="192"/>
    </w:p>
    <w:p>
      <w:pPr>
        <w:spacing w:after="0" w:line="480" w:lineRule="auto"/>
        <w:ind w:firstLine="420" w:firstLineChars="200"/>
        <w:rPr>
          <w:rFonts w:ascii="宋体" w:hAnsi="宋体" w:eastAsia="宋体"/>
          <w:color w:val="auto"/>
          <w:sz w:val="21"/>
          <w:szCs w:val="21"/>
          <w:highlight w:val="none"/>
        </w:rPr>
      </w:pPr>
      <w:bookmarkStart w:id="193" w:name="_Toc28626"/>
      <w:bookmarkStart w:id="194" w:name="_Toc508958705"/>
      <w:bookmarkStart w:id="195" w:name="_Toc509927457"/>
      <w:bookmarkStart w:id="196" w:name="_Toc508960155"/>
      <w:bookmarkStart w:id="197" w:name="_Toc509479532"/>
      <w:bookmarkStart w:id="198" w:name="_Toc24848"/>
      <w:bookmarkStart w:id="199" w:name="_Toc9148"/>
      <w:bookmarkStart w:id="200" w:name="_Toc508898068"/>
      <w:bookmarkStart w:id="201" w:name="_Toc509844827"/>
      <w:bookmarkStart w:id="202" w:name="_Toc510171695"/>
      <w:bookmarkStart w:id="203" w:name="_Toc28126"/>
      <w:bookmarkStart w:id="204" w:name="_Toc14653"/>
      <w:r>
        <w:rPr>
          <w:rFonts w:hint="eastAsia" w:ascii="宋体" w:hAnsi="宋体" w:eastAsia="宋体"/>
          <w:color w:val="auto"/>
          <w:sz w:val="21"/>
          <w:szCs w:val="21"/>
          <w:highlight w:val="none"/>
        </w:rPr>
        <w:t>（2）中标人为残疾人福利性单位的，采购代理机构将随中标结果同时公告其《残疾人福利性单位声明函》，接受社会监督。</w:t>
      </w:r>
      <w:bookmarkEnd w:id="193"/>
      <w:bookmarkEnd w:id="194"/>
      <w:bookmarkEnd w:id="195"/>
      <w:bookmarkEnd w:id="196"/>
      <w:bookmarkEnd w:id="197"/>
      <w:bookmarkEnd w:id="198"/>
      <w:bookmarkEnd w:id="199"/>
      <w:bookmarkEnd w:id="200"/>
      <w:bookmarkEnd w:id="201"/>
      <w:bookmarkEnd w:id="202"/>
      <w:bookmarkEnd w:id="203"/>
      <w:bookmarkEnd w:id="204"/>
    </w:p>
    <w:p>
      <w:pPr>
        <w:spacing w:after="0" w:line="480" w:lineRule="auto"/>
        <w:ind w:firstLine="420" w:firstLineChars="200"/>
        <w:rPr>
          <w:rFonts w:ascii="宋体" w:hAnsi="宋体" w:eastAsia="宋体"/>
          <w:color w:val="auto"/>
          <w:sz w:val="21"/>
          <w:szCs w:val="21"/>
          <w:highlight w:val="none"/>
        </w:rPr>
      </w:pPr>
      <w:bookmarkStart w:id="205" w:name="_Toc508898069"/>
      <w:bookmarkStart w:id="206" w:name="_Toc28044"/>
      <w:bookmarkStart w:id="207" w:name="_Toc508960156"/>
      <w:bookmarkStart w:id="208" w:name="_Toc508958706"/>
      <w:bookmarkStart w:id="209" w:name="_Toc509844828"/>
      <w:bookmarkStart w:id="210" w:name="_Toc9837"/>
      <w:bookmarkStart w:id="211" w:name="_Toc22981"/>
      <w:bookmarkStart w:id="212" w:name="_Toc509927458"/>
      <w:bookmarkStart w:id="213" w:name="_Toc7858"/>
      <w:bookmarkStart w:id="214" w:name="_Toc509479533"/>
      <w:bookmarkStart w:id="215" w:name="_Toc510171696"/>
      <w:bookmarkStart w:id="216" w:name="_Toc28686"/>
      <w:r>
        <w:rPr>
          <w:rFonts w:hint="eastAsia" w:ascii="宋体" w:hAnsi="宋体" w:eastAsia="宋体"/>
          <w:color w:val="auto"/>
          <w:sz w:val="21"/>
          <w:szCs w:val="21"/>
          <w:highlight w:val="none"/>
        </w:rPr>
        <w:t>（3）投标人提供的《残疾人福利性单位声明函》与事实不符的，依照《政府采购法》第七十七条第一款的规定追究法律责任。</w:t>
      </w:r>
      <w:bookmarkEnd w:id="205"/>
      <w:bookmarkEnd w:id="206"/>
      <w:bookmarkEnd w:id="207"/>
      <w:bookmarkEnd w:id="208"/>
      <w:bookmarkEnd w:id="209"/>
      <w:bookmarkEnd w:id="210"/>
      <w:bookmarkEnd w:id="211"/>
      <w:bookmarkEnd w:id="212"/>
      <w:bookmarkEnd w:id="213"/>
      <w:bookmarkEnd w:id="214"/>
      <w:bookmarkEnd w:id="215"/>
      <w:bookmarkEnd w:id="216"/>
    </w:p>
    <w:p>
      <w:pPr>
        <w:spacing w:after="0" w:line="480" w:lineRule="auto"/>
        <w:ind w:firstLine="420" w:firstLineChars="200"/>
        <w:rPr>
          <w:rFonts w:hint="eastAsia" w:ascii="宋体" w:hAnsi="宋体" w:eastAsia="宋体"/>
          <w:color w:val="auto"/>
          <w:sz w:val="21"/>
          <w:szCs w:val="21"/>
          <w:highlight w:val="none"/>
        </w:rPr>
      </w:pPr>
      <w:bookmarkStart w:id="217" w:name="_Toc509479534"/>
      <w:bookmarkStart w:id="218" w:name="_Toc18843"/>
      <w:bookmarkStart w:id="219" w:name="_Toc509844829"/>
      <w:bookmarkStart w:id="220" w:name="_Toc509927459"/>
      <w:bookmarkStart w:id="221" w:name="_Toc508958707"/>
      <w:bookmarkStart w:id="222" w:name="_Toc5289"/>
      <w:bookmarkStart w:id="223" w:name="_Toc510171697"/>
      <w:bookmarkStart w:id="224" w:name="_Toc508960157"/>
      <w:bookmarkStart w:id="225" w:name="_Toc508898070"/>
      <w:r>
        <w:rPr>
          <w:rFonts w:hint="eastAsia" w:ascii="宋体" w:hAnsi="宋体" w:eastAsia="宋体"/>
          <w:color w:val="auto"/>
          <w:sz w:val="21"/>
          <w:szCs w:val="21"/>
          <w:highlight w:val="none"/>
        </w:rPr>
        <w:t>（4）残疾人福利性单位视同小型、微型企业，享受评审中价格扣除。残疾人福利性单位属于小型、微型企业的，不重复享受政策。</w:t>
      </w:r>
      <w:bookmarkEnd w:id="217"/>
      <w:bookmarkEnd w:id="218"/>
      <w:bookmarkEnd w:id="219"/>
      <w:bookmarkEnd w:id="220"/>
      <w:bookmarkEnd w:id="221"/>
      <w:bookmarkEnd w:id="222"/>
      <w:bookmarkEnd w:id="223"/>
      <w:bookmarkEnd w:id="224"/>
      <w:bookmarkEnd w:id="225"/>
    </w:p>
    <w:p>
      <w:pPr>
        <w:spacing w:after="0" w:line="480" w:lineRule="auto"/>
        <w:ind w:firstLine="422" w:firstLineChars="200"/>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lang w:eastAsia="zh-CN"/>
        </w:rPr>
        <w:t>（</w:t>
      </w:r>
      <w:r>
        <w:rPr>
          <w:rFonts w:hint="eastAsia" w:ascii="宋体" w:hAnsi="宋体" w:eastAsia="宋体"/>
          <w:b/>
          <w:bCs/>
          <w:color w:val="auto"/>
          <w:sz w:val="21"/>
          <w:szCs w:val="21"/>
          <w:highlight w:val="none"/>
          <w:lang w:val="en-US" w:eastAsia="zh-CN"/>
        </w:rPr>
        <w:t>5</w:t>
      </w:r>
      <w:r>
        <w:rPr>
          <w:rFonts w:hint="eastAsia" w:ascii="宋体" w:hAnsi="宋体" w:eastAsia="宋体"/>
          <w:b/>
          <w:bCs/>
          <w:color w:val="auto"/>
          <w:sz w:val="21"/>
          <w:szCs w:val="21"/>
          <w:highlight w:val="none"/>
          <w:lang w:eastAsia="zh-CN"/>
        </w:rPr>
        <w:t>）</w:t>
      </w:r>
      <w:r>
        <w:rPr>
          <w:rFonts w:hint="eastAsia" w:ascii="宋体" w:hAnsi="宋体" w:eastAsia="宋体"/>
          <w:b/>
          <w:bCs/>
          <w:color w:val="auto"/>
          <w:sz w:val="21"/>
          <w:szCs w:val="21"/>
          <w:highlight w:val="none"/>
        </w:rPr>
        <w:t>若投标人不属于规定的残疾人福利性单位，或提供的产品不是</w:t>
      </w:r>
      <w:r>
        <w:rPr>
          <w:rFonts w:hint="eastAsia" w:ascii="宋体" w:hAnsi="宋体" w:eastAsia="宋体"/>
          <w:b/>
          <w:bCs/>
          <w:color w:val="auto"/>
          <w:sz w:val="21"/>
          <w:szCs w:val="21"/>
          <w:highlight w:val="none"/>
          <w:lang w:eastAsia="zh-CN"/>
        </w:rPr>
        <w:t>残疾人福利单位</w:t>
      </w:r>
      <w:r>
        <w:rPr>
          <w:rFonts w:hint="eastAsia" w:ascii="宋体" w:hAnsi="宋体" w:eastAsia="宋体"/>
          <w:b/>
          <w:bCs/>
          <w:color w:val="auto"/>
          <w:sz w:val="21"/>
          <w:szCs w:val="21"/>
          <w:highlight w:val="none"/>
        </w:rPr>
        <w:t>制造的，</w:t>
      </w:r>
      <w:r>
        <w:rPr>
          <w:rFonts w:hint="eastAsia" w:ascii="宋体" w:hAnsi="宋体" w:eastAsia="宋体"/>
          <w:b/>
          <w:bCs/>
          <w:color w:val="auto"/>
          <w:sz w:val="21"/>
          <w:szCs w:val="21"/>
          <w:highlight w:val="none"/>
          <w:lang w:eastAsia="zh-CN"/>
        </w:rPr>
        <w:t>则无需提供此表</w:t>
      </w:r>
      <w:r>
        <w:rPr>
          <w:rFonts w:hint="eastAsia" w:ascii="宋体" w:hAnsi="宋体" w:eastAsia="宋体"/>
          <w:b/>
          <w:bCs/>
          <w:color w:val="auto"/>
          <w:sz w:val="21"/>
          <w:szCs w:val="21"/>
          <w:highlight w:val="none"/>
        </w:rPr>
        <w:t>。</w:t>
      </w:r>
    </w:p>
    <w:p>
      <w:pPr>
        <w:adjustRightInd/>
        <w:snapToGrid/>
        <w:spacing w:line="276" w:lineRule="auto"/>
        <w:rPr>
          <w:rFonts w:ascii="宋体" w:hAnsi="宋体" w:eastAsia="宋体"/>
          <w:bCs/>
          <w:color w:val="auto"/>
          <w:sz w:val="21"/>
          <w:szCs w:val="21"/>
          <w:highlight w:val="none"/>
        </w:rPr>
      </w:pPr>
      <w:r>
        <w:rPr>
          <w:rFonts w:hint="eastAsia" w:ascii="宋体" w:hAnsi="宋体" w:eastAsia="宋体"/>
          <w:bCs/>
          <w:color w:val="auto"/>
          <w:sz w:val="21"/>
          <w:szCs w:val="21"/>
          <w:highlight w:val="none"/>
        </w:rPr>
        <w:br w:type="page"/>
      </w:r>
    </w:p>
    <w:p>
      <w:pPr>
        <w:pStyle w:val="5"/>
        <w:widowControl w:val="0"/>
        <w:overflowPunct w:val="0"/>
        <w:spacing w:before="0" w:after="0" w:line="240" w:lineRule="auto"/>
        <w:rPr>
          <w:color w:val="auto"/>
          <w:highlight w:val="none"/>
        </w:rPr>
      </w:pPr>
      <w:bookmarkStart w:id="226" w:name="_Toc25634"/>
      <w:r>
        <w:rPr>
          <w:rFonts w:hint="eastAsia" w:ascii="宋体" w:hAnsi="宋体" w:eastAsia="宋体"/>
          <w:color w:val="auto"/>
          <w:sz w:val="21"/>
          <w:szCs w:val="21"/>
          <w:highlight w:val="none"/>
        </w:rPr>
        <w:t>附件20. 投标保证金汇入情况说明格式</w:t>
      </w:r>
      <w:bookmarkEnd w:id="226"/>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投标保证金汇入情况说明</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致：广东三方诚信招标有限公司东莞分公司：</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本单位已按</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项目</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包（采购项目编号：</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）的招标文件要求，于</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日前以</w:t>
      </w:r>
      <w:r>
        <w:rPr>
          <w:rFonts w:hint="eastAsia" w:ascii="宋体" w:hAnsi="宋体" w:eastAsia="宋体"/>
          <w:color w:val="auto"/>
          <w:sz w:val="21"/>
          <w:szCs w:val="21"/>
          <w:highlight w:val="none"/>
          <w:u w:val="single"/>
        </w:rPr>
        <w:t xml:space="preserve">           （付款形式）</w:t>
      </w:r>
      <w:r>
        <w:rPr>
          <w:rFonts w:hint="eastAsia" w:ascii="宋体" w:hAnsi="宋体" w:eastAsia="宋体"/>
          <w:color w:val="auto"/>
          <w:sz w:val="21"/>
          <w:szCs w:val="21"/>
          <w:highlight w:val="none"/>
        </w:rPr>
        <w:t>方式汇入指定帐户（帐户名称：</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，帐号：</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,开户银行：</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本单位投标保证金的汇款情况：（详见附件－投标保证金进帐单）</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汇出时间：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日；</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汇款金额：（大写）人民币</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元（小写：￥</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元），</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汇款帐户名称：</w:t>
      </w:r>
      <w:r>
        <w:rPr>
          <w:rFonts w:hint="eastAsia" w:ascii="宋体" w:hAnsi="宋体" w:eastAsia="宋体"/>
          <w:color w:val="auto"/>
          <w:sz w:val="21"/>
          <w:szCs w:val="21"/>
          <w:highlight w:val="none"/>
          <w:u w:val="single"/>
        </w:rPr>
        <w:t xml:space="preserve">  （必须是投标时使用的帐户名）   </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帐        号：</w:t>
      </w:r>
      <w:r>
        <w:rPr>
          <w:rFonts w:hint="eastAsia" w:ascii="宋体" w:hAnsi="宋体" w:eastAsia="宋体"/>
          <w:color w:val="auto"/>
          <w:sz w:val="21"/>
          <w:szCs w:val="21"/>
          <w:highlight w:val="none"/>
          <w:u w:val="single"/>
        </w:rPr>
        <w:t xml:space="preserve">  （必须是投标时使用的帐号）     </w:t>
      </w:r>
    </w:p>
    <w:p>
      <w:pPr>
        <w:spacing w:after="0" w:line="480" w:lineRule="auto"/>
        <w:ind w:firstLine="420" w:firstLineChars="200"/>
        <w:rPr>
          <w:rFonts w:ascii="宋体" w:hAnsi="宋体" w:eastAsia="宋体"/>
          <w:color w:val="auto"/>
          <w:sz w:val="21"/>
          <w:szCs w:val="21"/>
          <w:highlight w:val="none"/>
          <w:u w:val="single"/>
        </w:rPr>
      </w:pPr>
      <w:r>
        <w:rPr>
          <w:rFonts w:hint="eastAsia" w:ascii="宋体" w:hAnsi="宋体" w:eastAsia="宋体"/>
          <w:color w:val="auto"/>
          <w:sz w:val="21"/>
          <w:szCs w:val="21"/>
          <w:highlight w:val="none"/>
        </w:rPr>
        <w:t>开 户  银 行：</w:t>
      </w:r>
      <w:r>
        <w:rPr>
          <w:rFonts w:hint="eastAsia" w:ascii="宋体" w:hAnsi="宋体" w:eastAsia="宋体"/>
          <w:color w:val="auto"/>
          <w:sz w:val="21"/>
          <w:szCs w:val="21"/>
          <w:highlight w:val="none"/>
          <w:u w:val="single"/>
        </w:rPr>
        <w:t xml:space="preserve">  （      银行   分行  支行    ）</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本单位谨承诺上述资料是正确、真实的，如因上述证明与事实不符导致的一切损失，本单位保证承担赔偿等一切法律责任。</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投标保证金退回时，请按上述资料退回。</w:t>
      </w:r>
    </w:p>
    <w:p>
      <w:pPr>
        <w:spacing w:after="0" w:line="480" w:lineRule="auto"/>
        <w:ind w:right="884" w:rightChars="402"/>
        <w:jc w:val="right"/>
        <w:rPr>
          <w:rFonts w:ascii="宋体" w:hAnsi="宋体" w:eastAsia="宋体"/>
          <w:color w:val="auto"/>
          <w:sz w:val="21"/>
          <w:szCs w:val="21"/>
          <w:highlight w:val="none"/>
        </w:rPr>
      </w:pPr>
      <w:r>
        <w:rPr>
          <w:rFonts w:hint="eastAsia" w:ascii="宋体" w:hAnsi="宋体" w:eastAsia="宋体"/>
          <w:color w:val="auto"/>
          <w:sz w:val="21"/>
          <w:szCs w:val="21"/>
          <w:highlight w:val="none"/>
        </w:rPr>
        <w:t>（单位公章）</w:t>
      </w:r>
    </w:p>
    <w:p>
      <w:pPr>
        <w:spacing w:after="0" w:line="480" w:lineRule="auto"/>
        <w:ind w:right="658" w:rightChars="299"/>
        <w:jc w:val="right"/>
        <w:rPr>
          <w:rFonts w:ascii="宋体" w:hAnsi="宋体" w:eastAsia="宋体"/>
          <w:color w:val="auto"/>
          <w:sz w:val="21"/>
          <w:szCs w:val="21"/>
          <w:highlight w:val="none"/>
        </w:rPr>
      </w:pPr>
      <w:r>
        <w:rPr>
          <w:rFonts w:hint="eastAsia" w:ascii="宋体" w:hAnsi="宋体" w:eastAsia="宋体"/>
          <w:color w:val="auto"/>
          <w:sz w:val="21"/>
          <w:szCs w:val="21"/>
          <w:highlight w:val="none"/>
        </w:rPr>
        <w:t>年 月 日</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单位名称：</w:t>
      </w:r>
      <w:r>
        <w:rPr>
          <w:rFonts w:hint="eastAsia" w:ascii="宋体" w:hAnsi="宋体" w:eastAsia="宋体"/>
          <w:color w:val="auto"/>
          <w:sz w:val="21"/>
          <w:szCs w:val="21"/>
          <w:highlight w:val="none"/>
          <w:u w:val="single"/>
        </w:rPr>
        <w:t xml:space="preserve">           </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单位地址：</w:t>
      </w:r>
      <w:r>
        <w:rPr>
          <w:rFonts w:hint="eastAsia" w:ascii="宋体" w:hAnsi="宋体" w:eastAsia="宋体"/>
          <w:color w:val="auto"/>
          <w:sz w:val="21"/>
          <w:szCs w:val="21"/>
          <w:highlight w:val="none"/>
          <w:u w:val="single"/>
        </w:rPr>
        <w:t xml:space="preserve">           </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联系人：</w:t>
      </w:r>
      <w:r>
        <w:rPr>
          <w:rFonts w:hint="eastAsia" w:ascii="宋体" w:hAnsi="宋体" w:eastAsia="宋体"/>
          <w:color w:val="auto"/>
          <w:sz w:val="21"/>
          <w:szCs w:val="21"/>
          <w:highlight w:val="none"/>
          <w:u w:val="single"/>
        </w:rPr>
        <w:t xml:space="preserve">                   </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单位电话：</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联系人手机：</w:t>
      </w:r>
      <w:r>
        <w:rPr>
          <w:rFonts w:hint="eastAsia" w:ascii="宋体" w:hAnsi="宋体" w:eastAsia="宋体"/>
          <w:color w:val="auto"/>
          <w:sz w:val="21"/>
          <w:szCs w:val="21"/>
          <w:highlight w:val="none"/>
          <w:u w:val="single"/>
        </w:rPr>
        <w:t xml:space="preserve">              </w:t>
      </w:r>
    </w:p>
    <w:p>
      <w:pPr>
        <w:spacing w:after="0"/>
        <w:rPr>
          <w:rFonts w:ascii="宋体" w:hAnsi="宋体" w:eastAsia="宋体"/>
          <w:color w:val="auto"/>
          <w:sz w:val="21"/>
          <w:szCs w:val="21"/>
          <w:highlight w:val="none"/>
        </w:rPr>
      </w:pPr>
    </w:p>
    <w:p>
      <w:pPr>
        <w:spacing w:after="0" w:line="38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spacing w:after="0" w:line="38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附：我方投标保证金汇款凭证</w:t>
      </w:r>
    </w:p>
    <w:tbl>
      <w:tblPr>
        <w:tblStyle w:val="16"/>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8953" w:type="dxa"/>
            <w:vAlign w:val="center"/>
          </w:tcPr>
          <w:p>
            <w:pPr>
              <w:tabs>
                <w:tab w:val="left" w:pos="3885"/>
              </w:tabs>
              <w:spacing w:line="360" w:lineRule="auto"/>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（粘贴汇款单或转账</w:t>
            </w:r>
            <w:r>
              <w:rPr>
                <w:rFonts w:ascii="宋体" w:hAnsi="宋体" w:eastAsia="宋体"/>
                <w:color w:val="auto"/>
                <w:sz w:val="21"/>
                <w:szCs w:val="21"/>
                <w:highlight w:val="none"/>
              </w:rPr>
              <w:t>凭证</w:t>
            </w:r>
            <w:r>
              <w:rPr>
                <w:rFonts w:hint="eastAsia" w:ascii="宋体" w:hAnsi="宋体" w:eastAsia="宋体"/>
                <w:color w:val="auto"/>
                <w:sz w:val="21"/>
                <w:szCs w:val="21"/>
                <w:highlight w:val="none"/>
              </w:rPr>
              <w:t>复印件，并在骑缝上加盖投标人公章，或是直接把转账</w:t>
            </w:r>
            <w:r>
              <w:rPr>
                <w:rFonts w:ascii="宋体" w:hAnsi="宋体" w:eastAsia="宋体"/>
                <w:color w:val="auto"/>
                <w:sz w:val="21"/>
                <w:szCs w:val="21"/>
                <w:highlight w:val="none"/>
              </w:rPr>
              <w:t>凭证</w:t>
            </w:r>
            <w:r>
              <w:rPr>
                <w:rFonts w:hint="eastAsia" w:ascii="宋体" w:hAnsi="宋体" w:eastAsia="宋体"/>
                <w:color w:val="auto"/>
                <w:sz w:val="21"/>
                <w:szCs w:val="21"/>
                <w:highlight w:val="none"/>
              </w:rPr>
              <w:t>复印到此张纸上）</w:t>
            </w:r>
          </w:p>
        </w:tc>
      </w:tr>
    </w:tbl>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注：此表既要装订在投标文件中，又要按投标人须知的规定与开标一览表、投标保证金汇款底单复印件及授权委托书一同密封装入开标文件，开标文件单独提交。</w:t>
      </w:r>
    </w:p>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5"/>
        <w:widowControl w:val="0"/>
        <w:overflowPunct w:val="0"/>
        <w:spacing w:before="0" w:after="0" w:line="240" w:lineRule="auto"/>
        <w:rPr>
          <w:rFonts w:ascii="宋体" w:hAnsi="宋体" w:eastAsia="宋体"/>
          <w:color w:val="auto"/>
          <w:sz w:val="21"/>
          <w:szCs w:val="21"/>
          <w:highlight w:val="none"/>
        </w:rPr>
      </w:pPr>
      <w:bookmarkStart w:id="227" w:name="_Toc4363"/>
      <w:r>
        <w:rPr>
          <w:rFonts w:hint="eastAsia" w:ascii="宋体" w:hAnsi="宋体" w:eastAsia="宋体"/>
          <w:color w:val="auto"/>
          <w:sz w:val="21"/>
          <w:szCs w:val="21"/>
          <w:highlight w:val="none"/>
        </w:rPr>
        <w:t>附件21.政府采购投标担保函</w:t>
      </w:r>
      <w:bookmarkEnd w:id="227"/>
      <w:r>
        <w:rPr>
          <w:rFonts w:hint="eastAsia" w:ascii="宋体" w:hAnsi="宋体" w:eastAsia="宋体"/>
          <w:color w:val="auto"/>
          <w:sz w:val="21"/>
          <w:szCs w:val="21"/>
          <w:highlight w:val="none"/>
        </w:rPr>
        <w:t xml:space="preserve"> </w:t>
      </w:r>
    </w:p>
    <w:p>
      <w:pPr>
        <w:jc w:val="center"/>
        <w:rPr>
          <w:rFonts w:ascii="黑体" w:eastAsia="黑体"/>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政府采购投标担保函</w:t>
      </w:r>
    </w:p>
    <w:p>
      <w:pPr>
        <w:wordWrap w:val="0"/>
        <w:jc w:val="right"/>
        <w:rPr>
          <w:rFonts w:ascii="仿宋_GB2312" w:eastAsia="仿宋_GB2312"/>
          <w:color w:val="auto"/>
          <w:sz w:val="32"/>
          <w:szCs w:val="32"/>
          <w:highlight w:val="none"/>
        </w:rPr>
      </w:pPr>
      <w:r>
        <w:rPr>
          <w:rFonts w:hint="eastAsia" w:ascii="黑体" w:eastAsia="黑体"/>
          <w:color w:val="auto"/>
          <w:sz w:val="28"/>
          <w:szCs w:val="28"/>
          <w:highlight w:val="none"/>
        </w:rPr>
        <w:t xml:space="preserve"> 编号：</w:t>
      </w:r>
      <w:r>
        <w:rPr>
          <w:rFonts w:hint="eastAsia" w:ascii="仿宋_GB2312" w:eastAsia="仿宋_GB2312"/>
          <w:color w:val="auto"/>
          <w:sz w:val="32"/>
          <w:szCs w:val="32"/>
          <w:highlight w:val="none"/>
        </w:rPr>
        <w:t xml:space="preserve">      </w:t>
      </w:r>
    </w:p>
    <w:p>
      <w:pPr>
        <w:spacing w:after="0" w:line="48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（采购人或采购代理机构）：</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鉴于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（以下简称“投标人”）拟参加编号为</w:t>
      </w:r>
      <w:r>
        <w:rPr>
          <w:rFonts w:hint="eastAsia" w:ascii="宋体" w:hAnsi="宋体" w:eastAsia="宋体" w:cs="宋体"/>
          <w:color w:val="auto"/>
          <w:sz w:val="21"/>
          <w:szCs w:val="21"/>
          <w:highlight w:val="none"/>
          <w:u w:val="single"/>
        </w:rPr>
        <w:t xml:space="preserve">            的</w:t>
      </w:r>
    </w:p>
    <w:p>
      <w:pPr>
        <w:spacing w:after="0" w:line="48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一、保证责任的情形及保证金额</w:t>
      </w:r>
    </w:p>
    <w:p>
      <w:pPr>
        <w:spacing w:after="0" w:line="480" w:lineRule="auto"/>
        <w:ind w:firstLine="210" w:firstLineChars="1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（一）在投标人出现下列情形之一时，我方承担保证责任：</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1．中标后投标人无正当理由不与采购人或者采购代理机构签订《政府采购合同》；</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2．招标文件规定的投标人应当缴纳保证金的其他情形。</w:t>
      </w:r>
    </w:p>
    <w:p>
      <w:pPr>
        <w:spacing w:after="0" w:line="480" w:lineRule="auto"/>
        <w:ind w:firstLine="210" w:firstLineChars="1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（二）我方承担保证责任的最高金额为人民币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），即本项目的投标保证金金额。</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二、保证的方式及保证期间</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我方保证的方式为：连带责任保证。</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我方的保证期间为：自本保函生效之日起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个月止。</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三、承担保证责任的程序</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2．我方在收到索赔通知及相关证明材料后，在</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个工作日内进行审查，符合应承担保证责任情形的，我方应按照你方的要求代投标人向你方支付投标保证金。</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四、保证责任的终止</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1．保证期间届满你方未向我方书面主张保证责任的，自保证期间届满次日起，我方保证责任自动终止。</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2．我方按照本保函向你贵方履行了保证责任后，自我方向你贵方支付款项（支付款项从我方账户划出）之日起，保证责任终止。</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3．按照法律法规的规定或出现我方保证责任终止的其它情形的，我方在本保函项下的保证责任亦终止。</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五、免责条款</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1．依照法律规定或你方与投标人的另行约定，全部或者部分免除投标人投标保证金义务时，我方亦免除相应的保证责任。</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2．因你方原因致使投标人发生本保函第一条第（一）款约定情形的，我方不承担保证责任。</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3．因不可抗力造成投标人发生本保函第一条约定情形的，我方不承担保证责任。</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4．你方或其他有权机关对招标文件进行任何澄清或修改，加重我方保证责任的，我方对加重部分不承担保证责任，但该澄清或修改经我方事先书面同意的除外。</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六、争议的解决</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因本保函发生的纠纷，由你我双方协商解决，协商不成的，通过诉讼程序解决，诉讼管辖地法院为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法院。</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七、保函的生效</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本保函自我方加盖公章之日起生效。</w:t>
      </w:r>
    </w:p>
    <w:p>
      <w:pPr>
        <w:spacing w:after="0" w:line="480" w:lineRule="auto"/>
        <w:jc w:val="right"/>
        <w:rPr>
          <w:rFonts w:ascii="宋体" w:hAnsi="宋体" w:eastAsia="宋体" w:cs="宋体"/>
          <w:color w:val="auto"/>
          <w:sz w:val="21"/>
          <w:szCs w:val="21"/>
          <w:highlight w:val="none"/>
        </w:rPr>
      </w:pPr>
    </w:p>
    <w:p>
      <w:pPr>
        <w:spacing w:after="0" w:line="480" w:lineRule="auto"/>
        <w:jc w:val="righ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保证人：（公章）</w:t>
      </w:r>
    </w:p>
    <w:p>
      <w:pPr>
        <w:spacing w:after="0" w:line="480" w:lineRule="auto"/>
        <w:jc w:val="righ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年     月      日</w:t>
      </w:r>
    </w:p>
    <w:p>
      <w:pPr>
        <w:spacing w:after="0"/>
        <w:rPr>
          <w:rFonts w:hint="eastAsia" w:ascii="宋体" w:hAnsi="宋体" w:eastAsia="宋体"/>
          <w:color w:val="auto"/>
          <w:sz w:val="21"/>
          <w:szCs w:val="21"/>
          <w:highlight w:val="none"/>
          <w:lang w:eastAsia="zh-CN"/>
        </w:rPr>
      </w:pPr>
    </w:p>
    <w:p>
      <w:pPr>
        <w:spacing w:after="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注：</w:t>
      </w:r>
    </w:p>
    <w:p>
      <w:pPr>
        <w:spacing w:after="0" w:line="48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lang w:val="en-US" w:eastAsia="zh-CN"/>
        </w:rPr>
        <w:t>1</w:t>
      </w:r>
      <w:r>
        <w:rPr>
          <w:rFonts w:hint="eastAsia" w:ascii="宋体" w:hAnsi="宋体" w:eastAsia="宋体"/>
          <w:color w:val="auto"/>
          <w:sz w:val="21"/>
          <w:szCs w:val="21"/>
          <w:highlight w:val="none"/>
          <w:lang w:eastAsia="zh-CN"/>
        </w:rPr>
        <w:t>）若投标人不以投标担保函形式提交投标保证金，则无需在投标文件中提供此格式。</w:t>
      </w:r>
    </w:p>
    <w:p>
      <w:pPr>
        <w:spacing w:after="0" w:line="48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lang w:val="en-US" w:eastAsia="zh-CN"/>
        </w:rPr>
        <w:t>2</w:t>
      </w:r>
      <w:r>
        <w:rPr>
          <w:rFonts w:hint="eastAsia" w:ascii="宋体" w:hAnsi="宋体" w:eastAsia="宋体"/>
          <w:color w:val="auto"/>
          <w:sz w:val="21"/>
          <w:szCs w:val="21"/>
          <w:highlight w:val="none"/>
          <w:lang w:eastAsia="zh-CN"/>
        </w:rPr>
        <w:t>）若投标人以投标担保函形式提交投标保证金，则应将投标担保函原件交予采购代理机构。</w:t>
      </w:r>
    </w:p>
    <w:p>
      <w:pPr>
        <w:spacing w:after="0"/>
        <w:rPr>
          <w:rFonts w:ascii="黑体" w:eastAsia="黑体"/>
          <w:color w:val="auto"/>
          <w:sz w:val="30"/>
          <w:szCs w:val="30"/>
          <w:highlight w:val="none"/>
        </w:rPr>
      </w:pPr>
      <w:r>
        <w:rPr>
          <w:rFonts w:hint="eastAsia" w:ascii="宋体" w:hAnsi="宋体" w:eastAsia="宋体"/>
          <w:color w:val="auto"/>
          <w:sz w:val="21"/>
          <w:szCs w:val="21"/>
          <w:highlight w:val="none"/>
          <w:lang w:eastAsia="zh-CN"/>
        </w:rPr>
        <w:br w:type="page"/>
      </w:r>
      <w:bookmarkStart w:id="228" w:name="_Toc27534"/>
      <w:r>
        <w:rPr>
          <w:rStyle w:val="25"/>
          <w:rFonts w:hint="eastAsia" w:ascii="宋体" w:hAnsi="宋体" w:eastAsia="宋体" w:cs="宋体"/>
          <w:color w:val="auto"/>
          <w:sz w:val="21"/>
          <w:szCs w:val="21"/>
          <w:highlight w:val="none"/>
        </w:rPr>
        <w:t>附件22.政府采购履约担保函</w:t>
      </w:r>
      <w:bookmarkEnd w:id="228"/>
    </w:p>
    <w:p>
      <w:pPr>
        <w:jc w:val="center"/>
        <w:rPr>
          <w:rFonts w:ascii="黑体" w:eastAsia="黑体"/>
          <w:color w:val="auto"/>
          <w:sz w:val="28"/>
          <w:szCs w:val="28"/>
          <w:highlight w:val="none"/>
        </w:rPr>
      </w:pPr>
      <w:r>
        <w:rPr>
          <w:rFonts w:hint="eastAsia" w:ascii="黑体" w:eastAsia="黑体"/>
          <w:color w:val="auto"/>
          <w:sz w:val="28"/>
          <w:szCs w:val="28"/>
          <w:highlight w:val="none"/>
        </w:rPr>
        <w:t>政府采购履约担保函</w:t>
      </w:r>
    </w:p>
    <w:p>
      <w:pPr>
        <w:wordWrap w:val="0"/>
        <w:jc w:val="right"/>
        <w:rPr>
          <w:rFonts w:ascii="仿宋_GB2312" w:eastAsia="仿宋_GB2312"/>
          <w:color w:val="auto"/>
          <w:sz w:val="32"/>
          <w:szCs w:val="32"/>
          <w:highlight w:val="none"/>
        </w:rPr>
      </w:pPr>
      <w:r>
        <w:rPr>
          <w:rFonts w:hint="eastAsia" w:ascii="黑体" w:eastAsia="黑体"/>
          <w:color w:val="auto"/>
          <w:sz w:val="28"/>
          <w:szCs w:val="28"/>
          <w:highlight w:val="none"/>
        </w:rPr>
        <w:t xml:space="preserve">编号：  </w:t>
      </w:r>
      <w:r>
        <w:rPr>
          <w:rFonts w:hint="eastAsia" w:ascii="仿宋_GB2312" w:eastAsia="仿宋_GB2312"/>
          <w:color w:val="auto"/>
          <w:sz w:val="32"/>
          <w:szCs w:val="32"/>
          <w:highlight w:val="none"/>
        </w:rPr>
        <w:t xml:space="preserve">       </w:t>
      </w:r>
    </w:p>
    <w:p>
      <w:pPr>
        <w:spacing w:after="0" w:line="48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（采购人）：</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鉴于你方与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（以下简称供应商）于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日签定编号为   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政府采购合同》（以下简称主合同），且依据该合同的约定，供应商应在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日前向你方交纳履约保证金，且可以履约担保函的形式交纳履约保证金。应供应商的申请，我方以保证的方式向你方提供如下履约保证金担保：</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一、保证责任的情形及保证金额</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（一）在供应商出现下列情形之一时，我方承担保证责任：</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1．将中标项目转让给他人，或者在投标文件中未说明，且未经采购招标机构人同意，将中标项目分包给他人的；</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2．主合同约定的应当缴纳履约保证金的情形: </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（1）未按主合同约定的质量、数量和期限供应货物/提供服务/完成工程的；</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after="0" w:line="480" w:lineRule="auto"/>
        <w:ind w:right="-1291" w:rightChars="-587"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（二）我方的保证范围是主合同约定的合同价款总额</w:t>
      </w:r>
      <w:r>
        <w:rPr>
          <w:rFonts w:hint="eastAsia" w:ascii="宋体" w:hAnsi="宋体" w:eastAsia="宋体" w:cs="宋体"/>
          <w:color w:val="auto"/>
          <w:sz w:val="21"/>
          <w:szCs w:val="21"/>
          <w:highlight w:val="none"/>
          <w:u w:val="single"/>
        </w:rPr>
        <w:t xml:space="preserve">  </w:t>
      </w:r>
    </w:p>
    <w:p>
      <w:pPr>
        <w:spacing w:after="0" w:line="480" w:lineRule="auto"/>
        <w:ind w:right="26" w:rightChars="1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%数额为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。（即主合同履约保证金金额）</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二、保证的方式及保证期间</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我方保证的方式为：连带责任保证。</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我方保证的期间为：自本合同生效之日起至供应商按照主合同约定的供货/完工期限届满后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日内。</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如果供应商未按主合同约定向贵方供应货物/提供服务/完成工程的，由我方在保证金额内向你方支付上述款项。</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三、承担保证责任的程序</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1．你方要求我方承担保证责任的，应在本保函保证期间内向我方发出书面索赔通知。索赔通知应写明要求索赔的金额，支付款项应到达的帐号。并附有证明供应商违约事实的证明材料。</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如果你方与供应商因货物质量问题产生争议，你方还需同时提供</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部门出具的质量检测报告，或经诉讼（仲裁）程序裁决后的裁决书、调解书，本保证人即按照检测结果或裁决书、调解书决定是否承担保证责任。</w:t>
      </w:r>
    </w:p>
    <w:p>
      <w:pPr>
        <w:spacing w:after="0" w:line="480" w:lineRule="auto"/>
        <w:ind w:right="-726" w:rightChars="-330" w:firstLine="420" w:firstLineChars="20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2．我方收到你方的书面索赔通知及相应证明材料，在</w:t>
      </w:r>
      <w:r>
        <w:rPr>
          <w:rFonts w:hint="eastAsia" w:ascii="宋体" w:hAnsi="宋体" w:eastAsia="宋体" w:cs="宋体"/>
          <w:color w:val="auto"/>
          <w:sz w:val="21"/>
          <w:szCs w:val="21"/>
          <w:highlight w:val="none"/>
          <w:u w:val="single"/>
        </w:rPr>
        <w:t xml:space="preserve">  </w:t>
      </w:r>
    </w:p>
    <w:p>
      <w:pPr>
        <w:spacing w:after="0" w:line="480" w:lineRule="auto"/>
        <w:ind w:right="-726" w:rightChars="-33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工作日内进行核定后按照本保函的承诺承担保证责任。</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四、保证责任的终止</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2．我方按照本保函向你方履行了保证责任后，自我方向你方支付款项（支付款项从我方账户划出）之日起，保证责任即终止。</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3．按照法律法规的规定或出现应终止我方保证责任的其它情形的，我方在本保函项下的保证责任亦终止。</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五、免责条款</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1．因你方违反主合同约定致使供应商不能履行义务的，我方不承担保证责任。</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2．依照法律法规的规定或你方与供应商的另行约定，全部或者部分免除供应商应缴纳的保证金义务的，我方亦免除相应的保证责任。</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3．因不可抗力造成供应商不能履行供货义务的，我方不承担保证责任。</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六、争议的解决</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因本保函发生的纠纷，由你我双方协商解决，协商不成的，通过诉讼程序解决，诉讼管辖地法院为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法院。</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七、保函的生效</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本保函自我方加盖公章之日起生效。</w:t>
      </w:r>
    </w:p>
    <w:p>
      <w:pPr>
        <w:spacing w:after="0" w:line="480" w:lineRule="auto"/>
        <w:rPr>
          <w:rFonts w:ascii="宋体" w:hAnsi="宋体" w:eastAsia="宋体" w:cs="宋体"/>
          <w:color w:val="auto"/>
          <w:sz w:val="21"/>
          <w:szCs w:val="21"/>
          <w:highlight w:val="none"/>
        </w:rPr>
      </w:pPr>
    </w:p>
    <w:p>
      <w:pPr>
        <w:spacing w:after="0" w:line="48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pacing w:after="0" w:line="480" w:lineRule="auto"/>
        <w:jc w:val="righ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保证人：（公章）</w:t>
      </w:r>
    </w:p>
    <w:p>
      <w:pPr>
        <w:spacing w:after="0" w:line="480" w:lineRule="auto"/>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     月      日</w:t>
      </w:r>
    </w:p>
    <w:p>
      <w:pPr>
        <w:spacing w:after="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注：</w:t>
      </w:r>
    </w:p>
    <w:p>
      <w:pPr>
        <w:spacing w:after="0" w:line="48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lang w:val="en-US" w:eastAsia="zh-CN"/>
        </w:rPr>
        <w:t>1</w:t>
      </w:r>
      <w:r>
        <w:rPr>
          <w:rFonts w:hint="eastAsia" w:ascii="宋体" w:hAnsi="宋体" w:eastAsia="宋体"/>
          <w:color w:val="auto"/>
          <w:sz w:val="21"/>
          <w:szCs w:val="21"/>
          <w:highlight w:val="none"/>
          <w:lang w:eastAsia="zh-CN"/>
        </w:rPr>
        <w:t>）此格式为履约担保函格式，无需在投标文件中提供此格式。</w:t>
      </w:r>
    </w:p>
    <w:p>
      <w:pPr>
        <w:pStyle w:val="2"/>
        <w:rPr>
          <w:color w:val="auto"/>
          <w:highlight w:val="none"/>
        </w:rPr>
      </w:pPr>
    </w:p>
    <w:p>
      <w:pPr>
        <w:pStyle w:val="3"/>
        <w:spacing w:before="0" w:after="0" w:line="240" w:lineRule="auto"/>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br w:type="page"/>
      </w:r>
    </w:p>
    <w:p>
      <w:pPr>
        <w:pStyle w:val="5"/>
        <w:spacing w:before="0" w:after="0" w:line="240" w:lineRule="auto"/>
        <w:rPr>
          <w:rFonts w:ascii="宋体" w:hAnsi="宋体" w:eastAsia="宋体" w:cs="宋体"/>
          <w:color w:val="auto"/>
          <w:sz w:val="21"/>
          <w:szCs w:val="21"/>
          <w:highlight w:val="none"/>
        </w:rPr>
      </w:pPr>
      <w:bookmarkStart w:id="229" w:name="_Toc17023"/>
      <w:r>
        <w:rPr>
          <w:rFonts w:hint="eastAsia" w:ascii="宋体" w:hAnsi="宋体" w:eastAsia="宋体" w:cs="宋体"/>
          <w:color w:val="auto"/>
          <w:sz w:val="21"/>
          <w:szCs w:val="21"/>
          <w:highlight w:val="none"/>
        </w:rPr>
        <w:t>附件23.获取招标文件登记表</w:t>
      </w:r>
      <w:bookmarkEnd w:id="229"/>
    </w:p>
    <w:p>
      <w:pPr>
        <w:pStyle w:val="3"/>
        <w:spacing w:before="0" w:after="0" w:line="240" w:lineRule="auto"/>
        <w:jc w:val="center"/>
        <w:rPr>
          <w:rFonts w:ascii="黑体" w:hAnsi="宋体"/>
          <w:color w:val="auto"/>
          <w:sz w:val="44"/>
          <w:szCs w:val="44"/>
          <w:highlight w:val="none"/>
        </w:rPr>
      </w:pPr>
      <w:bookmarkStart w:id="230" w:name="_Toc1968"/>
    </w:p>
    <w:p>
      <w:pPr>
        <w:spacing w:after="0"/>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lang w:eastAsia="zh-CN"/>
        </w:rPr>
        <w:t>获取</w:t>
      </w:r>
      <w:r>
        <w:rPr>
          <w:rFonts w:hint="eastAsia" w:ascii="黑体" w:hAnsi="黑体" w:eastAsia="黑体" w:cs="黑体"/>
          <w:color w:val="auto"/>
          <w:sz w:val="36"/>
          <w:szCs w:val="36"/>
          <w:highlight w:val="none"/>
        </w:rPr>
        <w:t>招标文件登记表</w:t>
      </w:r>
      <w:bookmarkEnd w:id="230"/>
    </w:p>
    <w:tbl>
      <w:tblPr>
        <w:tblStyle w:val="17"/>
        <w:tblW w:w="85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30"/>
        <w:gridCol w:w="58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获取招标文件时间</w:t>
            </w:r>
          </w:p>
        </w:tc>
        <w:tc>
          <w:tcPr>
            <w:tcW w:w="5898"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2020</w:t>
            </w:r>
            <w:r>
              <w:rPr>
                <w:rFonts w:hint="eastAsia" w:ascii="宋体" w:hAnsi="宋体" w:eastAsia="宋体" w:cs="宋体"/>
                <w:color w:val="auto"/>
                <w:sz w:val="32"/>
                <w:szCs w:val="32"/>
                <w:highlight w:val="none"/>
              </w:rPr>
              <w:t>年    月    日    时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拟投标项目名称</w:t>
            </w:r>
          </w:p>
        </w:tc>
        <w:tc>
          <w:tcPr>
            <w:tcW w:w="5898"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项目编号</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供应商全称</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供应商联系人</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电话</w:t>
            </w:r>
          </w:p>
        </w:tc>
        <w:tc>
          <w:tcPr>
            <w:tcW w:w="5898"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drawing>
                <wp:anchor distT="0" distB="0" distL="114300" distR="114300" simplePos="0" relativeHeight="251658240" behindDoc="1" locked="0" layoutInCell="1" allowOverlap="1">
                  <wp:simplePos x="0" y="0"/>
                  <wp:positionH relativeFrom="column">
                    <wp:posOffset>485775</wp:posOffset>
                  </wp:positionH>
                  <wp:positionV relativeFrom="paragraph">
                    <wp:posOffset>22225</wp:posOffset>
                  </wp:positionV>
                  <wp:extent cx="1504950" cy="1409700"/>
                  <wp:effectExtent l="0" t="0" r="0"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1504950" cy="1409700"/>
                          </a:xfrm>
                          <a:prstGeom prst="rect">
                            <a:avLst/>
                          </a:prstGeom>
                          <a:noFill/>
                          <a:ln>
                            <a:noFill/>
                          </a:ln>
                        </pic:spPr>
                      </pic:pic>
                    </a:graphicData>
                  </a:graphic>
                </wp:anchor>
              </w:drawing>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手机</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传真</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电子邮箱</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单位地址及邮编</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6"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备注</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招标文件领取人签名</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招标文件发售人签名</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招标文件售价</w:t>
            </w:r>
          </w:p>
        </w:tc>
        <w:tc>
          <w:tcPr>
            <w:tcW w:w="5898"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人民币0元/份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8528" w:type="dxa"/>
            <w:gridSpan w:val="2"/>
            <w:vAlign w:val="center"/>
          </w:tcPr>
          <w:p>
            <w:pPr>
              <w:spacing w:after="0"/>
              <w:jc w:val="center"/>
              <w:rPr>
                <w:rFonts w:hint="eastAsia" w:ascii="宋体" w:hAnsi="宋体" w:eastAsia="宋体" w:cs="宋体"/>
                <w:color w:val="auto"/>
                <w:sz w:val="32"/>
                <w:szCs w:val="32"/>
                <w:highlight w:val="none"/>
                <w:lang w:eastAsia="zh-CN"/>
              </w:rPr>
            </w:pPr>
          </w:p>
        </w:tc>
      </w:tr>
    </w:tbl>
    <w:p>
      <w:pPr>
        <w:rPr>
          <w:rFonts w:ascii="宋体" w:hAnsi="宋体" w:eastAsia="宋体" w:cs="宋体"/>
          <w:color w:val="auto"/>
          <w:sz w:val="21"/>
          <w:szCs w:val="21"/>
          <w:highlight w:val="none"/>
        </w:rPr>
      </w:pPr>
    </w:p>
    <w:p>
      <w:pPr>
        <w:rPr>
          <w:color w:val="auto"/>
          <w:highlight w:val="none"/>
        </w:rPr>
      </w:pPr>
      <w:r>
        <w:rPr>
          <w:color w:val="auto"/>
          <w:highlight w:val="none"/>
        </w:rPr>
        <w:br w:type="page"/>
      </w:r>
    </w:p>
    <w:p>
      <w:pPr>
        <w:pStyle w:val="5"/>
        <w:spacing w:before="0" w:after="0" w:line="240" w:lineRule="auto"/>
        <w:rPr>
          <w:rFonts w:hint="eastAsia" w:ascii="宋体" w:hAnsi="宋体" w:eastAsia="宋体" w:cs="宋体"/>
          <w:color w:val="auto"/>
          <w:sz w:val="21"/>
          <w:szCs w:val="21"/>
          <w:highlight w:val="none"/>
          <w:lang w:val="en-US" w:eastAsia="zh-CN"/>
        </w:rPr>
      </w:pPr>
      <w:bookmarkStart w:id="231" w:name="_Toc11182"/>
      <w:r>
        <w:rPr>
          <w:rFonts w:hint="eastAsia" w:ascii="宋体" w:hAnsi="宋体" w:eastAsia="宋体" w:cs="宋体"/>
          <w:color w:val="auto"/>
          <w:sz w:val="21"/>
          <w:szCs w:val="21"/>
          <w:highlight w:val="none"/>
          <w:lang w:eastAsia="zh-CN"/>
        </w:rPr>
        <w:t>附件</w:t>
      </w:r>
      <w:r>
        <w:rPr>
          <w:rFonts w:hint="eastAsia" w:ascii="宋体" w:hAnsi="宋体" w:eastAsia="宋体" w:cs="宋体"/>
          <w:color w:val="auto"/>
          <w:sz w:val="21"/>
          <w:szCs w:val="21"/>
          <w:highlight w:val="none"/>
          <w:lang w:val="en-US" w:eastAsia="zh-CN"/>
        </w:rPr>
        <w:t xml:space="preserve"> 24.质疑函范本</w:t>
      </w:r>
      <w:bookmarkEnd w:id="231"/>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1.质疑函</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一、质疑供应商基本信息</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质疑供应商：</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授权代表：</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二、质疑项目基本情况</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质疑项目的名称：</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质疑项目的编号：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包号：</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采购文件获取日期：</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三、质疑事项具体内容</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质疑事项1：</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事实依据：</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法律依据：</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质疑事项2</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四、与质疑事项相关的质疑请求</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请求：</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签字(签章)：                   公章：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日期：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质疑函制作说明：</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1.供应商提出质疑时，应提交质疑函和必要的证明材料。</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5.质疑函的质疑请求应与质疑事项相关。</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6.质疑供应商为自然人的，质疑函应由本人签字；质疑供应商为法人或者其他组织的，质疑函应由法定代表人、主要负责人，或者其授权代表签字或者盖章，并加盖公章。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8.质疑函递交地址为采购代理机构办公地址，详细地址详见投标邀请书。</w:t>
      </w:r>
    </w:p>
    <w:p>
      <w:pPr>
        <w:pStyle w:val="2"/>
        <w:rPr>
          <w:rFonts w:hint="eastAsia"/>
          <w:color w:val="auto"/>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2.询问函、质疑函授权书参考格式</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法定代表人或负责人授权委托书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本委托书声明：在下面签字的</w:t>
      </w:r>
      <w:r>
        <w:rPr>
          <w:rFonts w:hint="eastAsia" w:ascii="宋体" w:hAnsi="宋体" w:eastAsia="宋体" w:cs="宋体"/>
          <w:color w:val="auto"/>
          <w:sz w:val="21"/>
          <w:szCs w:val="21"/>
          <w:highlight w:val="none"/>
          <w:u w:val="single"/>
        </w:rPr>
        <w:t xml:space="preserve">           （法定代表人或负责人姓名、职务）</w:t>
      </w:r>
      <w:r>
        <w:rPr>
          <w:rFonts w:hint="eastAsia" w:ascii="宋体" w:hAnsi="宋体" w:eastAsia="宋体" w:cs="宋体"/>
          <w:color w:val="auto"/>
          <w:sz w:val="21"/>
          <w:szCs w:val="21"/>
          <w:highlight w:val="none"/>
        </w:rPr>
        <w:t xml:space="preserve">代表 </w:t>
      </w:r>
      <w:r>
        <w:rPr>
          <w:rFonts w:hint="eastAsia" w:ascii="宋体" w:hAnsi="宋体" w:eastAsia="宋体" w:cs="宋体"/>
          <w:color w:val="auto"/>
          <w:sz w:val="21"/>
          <w:szCs w:val="21"/>
          <w:highlight w:val="none"/>
          <w:u w:val="single"/>
        </w:rPr>
        <w:t xml:space="preserve">            （供应商名称）</w:t>
      </w:r>
      <w:r>
        <w:rPr>
          <w:rFonts w:hint="eastAsia" w:ascii="宋体" w:hAnsi="宋体" w:eastAsia="宋体" w:cs="宋体"/>
          <w:color w:val="auto"/>
          <w:sz w:val="21"/>
          <w:szCs w:val="21"/>
          <w:highlight w:val="none"/>
        </w:rPr>
        <w:t>委托在下面签字的</w:t>
      </w:r>
      <w:r>
        <w:rPr>
          <w:rFonts w:hint="eastAsia" w:ascii="宋体" w:hAnsi="宋体" w:eastAsia="宋体" w:cs="宋体"/>
          <w:color w:val="auto"/>
          <w:sz w:val="21"/>
          <w:szCs w:val="21"/>
          <w:highlight w:val="none"/>
          <w:u w:val="single"/>
        </w:rPr>
        <w:t xml:space="preserve">          （授权代表的姓名、职务）</w:t>
      </w:r>
      <w:r>
        <w:rPr>
          <w:rFonts w:hint="eastAsia" w:ascii="宋体" w:hAnsi="宋体" w:eastAsia="宋体" w:cs="宋体"/>
          <w:color w:val="auto"/>
          <w:sz w:val="21"/>
          <w:szCs w:val="21"/>
          <w:highlight w:val="none"/>
        </w:rPr>
        <w:t>为本公司的合法代表人，就</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采购项目（采购编号：</w:t>
      </w:r>
      <w:r>
        <w:rPr>
          <w:rFonts w:hint="eastAsia" w:ascii="宋体" w:hAnsi="宋体" w:eastAsia="宋体" w:cs="宋体"/>
          <w:color w:val="auto"/>
          <w:sz w:val="21"/>
          <w:szCs w:val="21"/>
          <w:highlight w:val="none"/>
          <w:u w:val="single"/>
        </w:rPr>
        <w:t xml:space="preserve">          ）             （填写授权内容）</w:t>
      </w:r>
      <w:r>
        <w:rPr>
          <w:rFonts w:hint="eastAsia" w:ascii="宋体" w:hAnsi="宋体" w:eastAsia="宋体" w:cs="宋体"/>
          <w:color w:val="auto"/>
          <w:sz w:val="21"/>
          <w:szCs w:val="21"/>
          <w:highlight w:val="none"/>
        </w:rPr>
        <w:t>，以本公司的名义处理一切与之有关的事宜</w:t>
      </w:r>
      <w:r>
        <w:rPr>
          <w:rFonts w:hint="eastAsia" w:ascii="宋体" w:hAnsi="宋体" w:eastAsia="宋体" w:cs="宋体"/>
          <w:color w:val="auto"/>
          <w:sz w:val="21"/>
          <w:szCs w:val="21"/>
          <w:highlight w:val="none"/>
          <w:u w:val="single"/>
        </w:rPr>
        <w:t>（须提供法定代表人或负责人、授权代表身份证复印件）。</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本委托书于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日签字生效。</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供应商名称（加盖公章）：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法定代表人或负责人（签名或盖私章）：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授权代表（签名或盖私章）：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 w:hAnsi="仿宋" w:eastAsia="仿宋"/>
          <w:color w:val="auto"/>
          <w:sz w:val="24"/>
          <w:highlight w:val="none"/>
        </w:rPr>
      </w:pPr>
      <w:r>
        <w:rPr>
          <w:rFonts w:hint="eastAsia" w:ascii="宋体" w:hAnsi="宋体" w:eastAsia="宋体" w:cs="宋体"/>
          <w:color w:val="auto"/>
          <w:sz w:val="21"/>
          <w:szCs w:val="21"/>
          <w:highlight w:val="none"/>
        </w:rPr>
        <w:t>日期：</w:t>
      </w:r>
    </w:p>
    <w:p>
      <w:pPr>
        <w:bidi w:val="0"/>
        <w:rPr>
          <w:rFonts w:hint="default"/>
          <w:color w:val="auto"/>
          <w:highlight w:val="none"/>
          <w:lang w:val="en-US" w:eastAsia="zh-CN"/>
        </w:rPr>
      </w:pPr>
    </w:p>
    <w:sectPr>
      <w:footerReference r:id="rId5" w:type="first"/>
      <w:footerReference r:id="rId4" w:type="default"/>
      <w:pgSz w:w="11906" w:h="16838"/>
      <w:pgMar w:top="1440" w:right="1800" w:bottom="1440" w:left="1800" w:header="708" w:footer="708" w:gutter="0"/>
      <w:pgNumType w:start="1"/>
      <w:cols w:space="708"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LhhMEKz&#10;AQAASwMAAA4AAAAAAAAAAQAgAAAAHgEAAGRycy9lMm9Eb2MueG1sUEsFBgAAAAAGAAYAWQEAAEMF&#10;AAAAAA==&#10;">
              <v:fill on="f" focussize="0,0"/>
              <v:stroke on="f"/>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c97CcLIB&#10;AABLAwAADgAAAAAAAAABACAAAAAeAQAAZHJzL2Uyb0RvYy54bWxQSwUGAAAAAAYABgBZAQAAQgUA&#10;AAAA&#10;">
              <v:fill on="f" focussize="0,0"/>
              <v:stroke on="f"/>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rPr>
      <w:t>东莞市政府采购公开招标文件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87489"/>
    <w:multiLevelType w:val="singleLevel"/>
    <w:tmpl w:val="93587489"/>
    <w:lvl w:ilvl="0" w:tentative="0">
      <w:start w:val="1"/>
      <w:numFmt w:val="decimal"/>
      <w:suff w:val="nothing"/>
      <w:lvlText w:val="%1、"/>
      <w:lvlJc w:val="left"/>
    </w:lvl>
  </w:abstractNum>
  <w:abstractNum w:abstractNumId="1">
    <w:nsid w:val="B3805745"/>
    <w:multiLevelType w:val="singleLevel"/>
    <w:tmpl w:val="B3805745"/>
    <w:lvl w:ilvl="0" w:tentative="0">
      <w:start w:val="1"/>
      <w:numFmt w:val="decimal"/>
      <w:suff w:val="nothing"/>
      <w:lvlText w:val="%1、"/>
      <w:lvlJc w:val="left"/>
    </w:lvl>
  </w:abstractNum>
  <w:abstractNum w:abstractNumId="2">
    <w:nsid w:val="BAA12ADA"/>
    <w:multiLevelType w:val="singleLevel"/>
    <w:tmpl w:val="BAA12ADA"/>
    <w:lvl w:ilvl="0" w:tentative="0">
      <w:start w:val="1"/>
      <w:numFmt w:val="decimal"/>
      <w:suff w:val="nothing"/>
      <w:lvlText w:val="（%1）"/>
      <w:lvlJc w:val="left"/>
    </w:lvl>
  </w:abstractNum>
  <w:abstractNum w:abstractNumId="3">
    <w:nsid w:val="CFF174A5"/>
    <w:multiLevelType w:val="singleLevel"/>
    <w:tmpl w:val="CFF174A5"/>
    <w:lvl w:ilvl="0" w:tentative="0">
      <w:start w:val="1"/>
      <w:numFmt w:val="decimal"/>
      <w:suff w:val="nothing"/>
      <w:lvlText w:val="%1、"/>
      <w:lvlJc w:val="left"/>
    </w:lvl>
  </w:abstractNum>
  <w:abstractNum w:abstractNumId="4">
    <w:nsid w:val="D0047B7E"/>
    <w:multiLevelType w:val="singleLevel"/>
    <w:tmpl w:val="D0047B7E"/>
    <w:lvl w:ilvl="0" w:tentative="0">
      <w:start w:val="1"/>
      <w:numFmt w:val="decimal"/>
      <w:suff w:val="nothing"/>
      <w:lvlText w:val="%1、"/>
      <w:lvlJc w:val="left"/>
    </w:lvl>
  </w:abstractNum>
  <w:abstractNum w:abstractNumId="5">
    <w:nsid w:val="E09EF6E1"/>
    <w:multiLevelType w:val="singleLevel"/>
    <w:tmpl w:val="E09EF6E1"/>
    <w:lvl w:ilvl="0" w:tentative="0">
      <w:start w:val="1"/>
      <w:numFmt w:val="decimal"/>
      <w:suff w:val="nothing"/>
      <w:lvlText w:val="（%1）"/>
      <w:lvlJc w:val="left"/>
    </w:lvl>
  </w:abstractNum>
  <w:abstractNum w:abstractNumId="6">
    <w:nsid w:val="F73DC5D7"/>
    <w:multiLevelType w:val="singleLevel"/>
    <w:tmpl w:val="F73DC5D7"/>
    <w:lvl w:ilvl="0" w:tentative="0">
      <w:start w:val="1"/>
      <w:numFmt w:val="decimal"/>
      <w:suff w:val="nothing"/>
      <w:lvlText w:val="（%1）"/>
      <w:lvlJc w:val="left"/>
    </w:lvl>
  </w:abstractNum>
  <w:abstractNum w:abstractNumId="7">
    <w:nsid w:val="00000005"/>
    <w:multiLevelType w:val="multilevel"/>
    <w:tmpl w:val="00000005"/>
    <w:lvl w:ilvl="0" w:tentative="0">
      <w:start w:val="1"/>
      <w:numFmt w:val="decimal"/>
      <w:lvlText w:val="%1."/>
      <w:lvlJc w:val="left"/>
      <w:pPr>
        <w:tabs>
          <w:tab w:val="left" w:pos="0"/>
        </w:tabs>
        <w:ind w:left="0" w:firstLine="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3387DFE"/>
    <w:multiLevelType w:val="multilevel"/>
    <w:tmpl w:val="13387DFE"/>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206CABF7"/>
    <w:multiLevelType w:val="singleLevel"/>
    <w:tmpl w:val="206CABF7"/>
    <w:lvl w:ilvl="0" w:tentative="0">
      <w:start w:val="1"/>
      <w:numFmt w:val="decimal"/>
      <w:suff w:val="nothing"/>
      <w:lvlText w:val="（%1）"/>
      <w:lvlJc w:val="left"/>
    </w:lvl>
  </w:abstractNum>
  <w:abstractNum w:abstractNumId="10">
    <w:nsid w:val="3F88662E"/>
    <w:multiLevelType w:val="singleLevel"/>
    <w:tmpl w:val="3F88662E"/>
    <w:lvl w:ilvl="0" w:tentative="0">
      <w:start w:val="1"/>
      <w:numFmt w:val="decimal"/>
      <w:suff w:val="space"/>
      <w:lvlText w:val="%1)"/>
      <w:lvlJc w:val="left"/>
    </w:lvl>
  </w:abstractNum>
  <w:abstractNum w:abstractNumId="11">
    <w:nsid w:val="580745EB"/>
    <w:multiLevelType w:val="multilevel"/>
    <w:tmpl w:val="580745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75625C"/>
    <w:multiLevelType w:val="singleLevel"/>
    <w:tmpl w:val="5975625C"/>
    <w:lvl w:ilvl="0" w:tentative="0">
      <w:start w:val="2"/>
      <w:numFmt w:val="decimal"/>
      <w:suff w:val="nothing"/>
      <w:lvlText w:val="%1、"/>
      <w:lvlJc w:val="left"/>
    </w:lvl>
  </w:abstractNum>
  <w:abstractNum w:abstractNumId="13">
    <w:nsid w:val="5C183DB0"/>
    <w:multiLevelType w:val="multilevel"/>
    <w:tmpl w:val="5C183D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1A53C5B"/>
    <w:multiLevelType w:val="multilevel"/>
    <w:tmpl w:val="61A53C5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12"/>
  </w:num>
  <w:num w:numId="3">
    <w:abstractNumId w:val="1"/>
  </w:num>
  <w:num w:numId="4">
    <w:abstractNumId w:val="11"/>
  </w:num>
  <w:num w:numId="5">
    <w:abstractNumId w:val="8"/>
  </w:num>
  <w:num w:numId="6">
    <w:abstractNumId w:val="10"/>
  </w:num>
  <w:num w:numId="7">
    <w:abstractNumId w:val="9"/>
  </w:num>
  <w:num w:numId="8">
    <w:abstractNumId w:val="5"/>
  </w:num>
  <w:num w:numId="9">
    <w:abstractNumId w:val="6"/>
  </w:num>
  <w:num w:numId="10">
    <w:abstractNumId w:val="2"/>
  </w:num>
  <w:num w:numId="11">
    <w:abstractNumId w:val="3"/>
  </w:num>
  <w:num w:numId="12">
    <w:abstractNumId w:val="7"/>
  </w:num>
  <w:num w:numId="13">
    <w:abstractNumId w:val="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6B"/>
    <w:rsid w:val="00006462"/>
    <w:rsid w:val="000300E4"/>
    <w:rsid w:val="0003307E"/>
    <w:rsid w:val="000336BA"/>
    <w:rsid w:val="000359A1"/>
    <w:rsid w:val="0007500F"/>
    <w:rsid w:val="0008282E"/>
    <w:rsid w:val="000A363F"/>
    <w:rsid w:val="000A42A8"/>
    <w:rsid w:val="000A5063"/>
    <w:rsid w:val="000A5DBD"/>
    <w:rsid w:val="000C4524"/>
    <w:rsid w:val="000D44A6"/>
    <w:rsid w:val="000D5273"/>
    <w:rsid w:val="000F0E98"/>
    <w:rsid w:val="001049A5"/>
    <w:rsid w:val="001242F3"/>
    <w:rsid w:val="00134CAD"/>
    <w:rsid w:val="0013730B"/>
    <w:rsid w:val="00137853"/>
    <w:rsid w:val="00137E1C"/>
    <w:rsid w:val="00147012"/>
    <w:rsid w:val="00173126"/>
    <w:rsid w:val="00173905"/>
    <w:rsid w:val="00173E04"/>
    <w:rsid w:val="00175D29"/>
    <w:rsid w:val="001844F4"/>
    <w:rsid w:val="00185039"/>
    <w:rsid w:val="001A06D8"/>
    <w:rsid w:val="001A2D42"/>
    <w:rsid w:val="001A2EF7"/>
    <w:rsid w:val="001B41CF"/>
    <w:rsid w:val="001B5860"/>
    <w:rsid w:val="001C1135"/>
    <w:rsid w:val="001C15AE"/>
    <w:rsid w:val="001C4661"/>
    <w:rsid w:val="001C5689"/>
    <w:rsid w:val="001C6E4B"/>
    <w:rsid w:val="001F0070"/>
    <w:rsid w:val="001F4B02"/>
    <w:rsid w:val="002065A7"/>
    <w:rsid w:val="0021149E"/>
    <w:rsid w:val="00213021"/>
    <w:rsid w:val="00216BE9"/>
    <w:rsid w:val="0022503E"/>
    <w:rsid w:val="00225BB4"/>
    <w:rsid w:val="00226313"/>
    <w:rsid w:val="00240F5F"/>
    <w:rsid w:val="00244C00"/>
    <w:rsid w:val="00247AE0"/>
    <w:rsid w:val="002504F8"/>
    <w:rsid w:val="00260AC1"/>
    <w:rsid w:val="0026312D"/>
    <w:rsid w:val="0027078E"/>
    <w:rsid w:val="00284156"/>
    <w:rsid w:val="00285643"/>
    <w:rsid w:val="002867A1"/>
    <w:rsid w:val="002901F8"/>
    <w:rsid w:val="002A540A"/>
    <w:rsid w:val="002B4087"/>
    <w:rsid w:val="002B5F6C"/>
    <w:rsid w:val="002C165E"/>
    <w:rsid w:val="002C6C78"/>
    <w:rsid w:val="002D1594"/>
    <w:rsid w:val="002D3F9C"/>
    <w:rsid w:val="002D503C"/>
    <w:rsid w:val="002D7E27"/>
    <w:rsid w:val="002E17E5"/>
    <w:rsid w:val="002E6B7E"/>
    <w:rsid w:val="0030669E"/>
    <w:rsid w:val="00320CEA"/>
    <w:rsid w:val="00323B43"/>
    <w:rsid w:val="00326831"/>
    <w:rsid w:val="003274CE"/>
    <w:rsid w:val="003430F6"/>
    <w:rsid w:val="0038564C"/>
    <w:rsid w:val="00393B1D"/>
    <w:rsid w:val="003A1D97"/>
    <w:rsid w:val="003C3B19"/>
    <w:rsid w:val="003C412B"/>
    <w:rsid w:val="003C415C"/>
    <w:rsid w:val="003D36FB"/>
    <w:rsid w:val="003D37D8"/>
    <w:rsid w:val="003E2B8C"/>
    <w:rsid w:val="003F4822"/>
    <w:rsid w:val="00401CC0"/>
    <w:rsid w:val="00410F11"/>
    <w:rsid w:val="004203B9"/>
    <w:rsid w:val="00421BCF"/>
    <w:rsid w:val="004322A2"/>
    <w:rsid w:val="004358AB"/>
    <w:rsid w:val="00451EB4"/>
    <w:rsid w:val="00460B31"/>
    <w:rsid w:val="00462105"/>
    <w:rsid w:val="00475A80"/>
    <w:rsid w:val="00490B9E"/>
    <w:rsid w:val="00497577"/>
    <w:rsid w:val="004A05D7"/>
    <w:rsid w:val="004A2B28"/>
    <w:rsid w:val="004A69F1"/>
    <w:rsid w:val="004B3550"/>
    <w:rsid w:val="004D51A2"/>
    <w:rsid w:val="004D5AFB"/>
    <w:rsid w:val="004E04FD"/>
    <w:rsid w:val="004F1BB7"/>
    <w:rsid w:val="0050759C"/>
    <w:rsid w:val="005269A9"/>
    <w:rsid w:val="00546A42"/>
    <w:rsid w:val="0055408D"/>
    <w:rsid w:val="0057492D"/>
    <w:rsid w:val="00590819"/>
    <w:rsid w:val="00593D68"/>
    <w:rsid w:val="005A208B"/>
    <w:rsid w:val="005A7612"/>
    <w:rsid w:val="005C702E"/>
    <w:rsid w:val="005D01B8"/>
    <w:rsid w:val="005D066B"/>
    <w:rsid w:val="005F573A"/>
    <w:rsid w:val="005F7EB1"/>
    <w:rsid w:val="00604B81"/>
    <w:rsid w:val="00613417"/>
    <w:rsid w:val="0061545F"/>
    <w:rsid w:val="006175DE"/>
    <w:rsid w:val="006215AC"/>
    <w:rsid w:val="00621821"/>
    <w:rsid w:val="00622362"/>
    <w:rsid w:val="00622497"/>
    <w:rsid w:val="006276AD"/>
    <w:rsid w:val="006378D4"/>
    <w:rsid w:val="0064416A"/>
    <w:rsid w:val="0065365D"/>
    <w:rsid w:val="0065543F"/>
    <w:rsid w:val="006578F2"/>
    <w:rsid w:val="00664F6B"/>
    <w:rsid w:val="006731D2"/>
    <w:rsid w:val="00682986"/>
    <w:rsid w:val="006913C9"/>
    <w:rsid w:val="00691701"/>
    <w:rsid w:val="00691AE0"/>
    <w:rsid w:val="0069491E"/>
    <w:rsid w:val="006B7878"/>
    <w:rsid w:val="006C14BD"/>
    <w:rsid w:val="006C28E5"/>
    <w:rsid w:val="006D1BA8"/>
    <w:rsid w:val="006D393E"/>
    <w:rsid w:val="006D4AD8"/>
    <w:rsid w:val="006E0B58"/>
    <w:rsid w:val="006E0C4B"/>
    <w:rsid w:val="007110BA"/>
    <w:rsid w:val="00711465"/>
    <w:rsid w:val="0072310A"/>
    <w:rsid w:val="00723B11"/>
    <w:rsid w:val="007343A7"/>
    <w:rsid w:val="00734BB2"/>
    <w:rsid w:val="0075028E"/>
    <w:rsid w:val="007608B9"/>
    <w:rsid w:val="00761AAB"/>
    <w:rsid w:val="007724B4"/>
    <w:rsid w:val="007818FB"/>
    <w:rsid w:val="007916E7"/>
    <w:rsid w:val="00797C5D"/>
    <w:rsid w:val="00797D2F"/>
    <w:rsid w:val="007A34B9"/>
    <w:rsid w:val="007A6F47"/>
    <w:rsid w:val="007C4F46"/>
    <w:rsid w:val="007C7297"/>
    <w:rsid w:val="007D1B4F"/>
    <w:rsid w:val="007D2F9E"/>
    <w:rsid w:val="007D3175"/>
    <w:rsid w:val="007D48BF"/>
    <w:rsid w:val="007D5C45"/>
    <w:rsid w:val="007E2543"/>
    <w:rsid w:val="007E4A26"/>
    <w:rsid w:val="007F01B0"/>
    <w:rsid w:val="007F2CD8"/>
    <w:rsid w:val="007F4DC5"/>
    <w:rsid w:val="00806380"/>
    <w:rsid w:val="0081104F"/>
    <w:rsid w:val="00822299"/>
    <w:rsid w:val="00833E43"/>
    <w:rsid w:val="0083486A"/>
    <w:rsid w:val="00841378"/>
    <w:rsid w:val="00842B87"/>
    <w:rsid w:val="00845BEB"/>
    <w:rsid w:val="008472E6"/>
    <w:rsid w:val="00853463"/>
    <w:rsid w:val="0086026F"/>
    <w:rsid w:val="008640F5"/>
    <w:rsid w:val="00865FBF"/>
    <w:rsid w:val="008907DA"/>
    <w:rsid w:val="008A0587"/>
    <w:rsid w:val="008B7726"/>
    <w:rsid w:val="008D429E"/>
    <w:rsid w:val="008D5A10"/>
    <w:rsid w:val="008E319F"/>
    <w:rsid w:val="008E619C"/>
    <w:rsid w:val="008F6E0E"/>
    <w:rsid w:val="008F79E1"/>
    <w:rsid w:val="00906F49"/>
    <w:rsid w:val="00914604"/>
    <w:rsid w:val="00923533"/>
    <w:rsid w:val="00930A38"/>
    <w:rsid w:val="00934170"/>
    <w:rsid w:val="00942948"/>
    <w:rsid w:val="009474B5"/>
    <w:rsid w:val="00972D86"/>
    <w:rsid w:val="009736BF"/>
    <w:rsid w:val="0097392B"/>
    <w:rsid w:val="00976066"/>
    <w:rsid w:val="00980A66"/>
    <w:rsid w:val="009904F7"/>
    <w:rsid w:val="009910F6"/>
    <w:rsid w:val="009A7058"/>
    <w:rsid w:val="009C6AD9"/>
    <w:rsid w:val="009D55C3"/>
    <w:rsid w:val="009E398C"/>
    <w:rsid w:val="009E6F05"/>
    <w:rsid w:val="00A10906"/>
    <w:rsid w:val="00A14EEF"/>
    <w:rsid w:val="00A25E78"/>
    <w:rsid w:val="00A61230"/>
    <w:rsid w:val="00A813C5"/>
    <w:rsid w:val="00A824E6"/>
    <w:rsid w:val="00A858DC"/>
    <w:rsid w:val="00A94D14"/>
    <w:rsid w:val="00AB19CE"/>
    <w:rsid w:val="00AB3969"/>
    <w:rsid w:val="00AC187B"/>
    <w:rsid w:val="00AC5C21"/>
    <w:rsid w:val="00AE310E"/>
    <w:rsid w:val="00AE4FC5"/>
    <w:rsid w:val="00AF5F1F"/>
    <w:rsid w:val="00B027A4"/>
    <w:rsid w:val="00B236B3"/>
    <w:rsid w:val="00B26534"/>
    <w:rsid w:val="00B26806"/>
    <w:rsid w:val="00B31B24"/>
    <w:rsid w:val="00B4287F"/>
    <w:rsid w:val="00B4315F"/>
    <w:rsid w:val="00B60DAB"/>
    <w:rsid w:val="00B7194E"/>
    <w:rsid w:val="00B763B0"/>
    <w:rsid w:val="00B93045"/>
    <w:rsid w:val="00BA4130"/>
    <w:rsid w:val="00BB2CAF"/>
    <w:rsid w:val="00BC3E74"/>
    <w:rsid w:val="00BD630F"/>
    <w:rsid w:val="00BD7C1B"/>
    <w:rsid w:val="00BF17FD"/>
    <w:rsid w:val="00BF41D4"/>
    <w:rsid w:val="00BF5AFB"/>
    <w:rsid w:val="00C16734"/>
    <w:rsid w:val="00C17B47"/>
    <w:rsid w:val="00C25C77"/>
    <w:rsid w:val="00C303E7"/>
    <w:rsid w:val="00C319C2"/>
    <w:rsid w:val="00C62E44"/>
    <w:rsid w:val="00C63BD8"/>
    <w:rsid w:val="00C65954"/>
    <w:rsid w:val="00C7126B"/>
    <w:rsid w:val="00C72C24"/>
    <w:rsid w:val="00C73468"/>
    <w:rsid w:val="00C80EC4"/>
    <w:rsid w:val="00C8568E"/>
    <w:rsid w:val="00CC584A"/>
    <w:rsid w:val="00CC5E4E"/>
    <w:rsid w:val="00CD0EAB"/>
    <w:rsid w:val="00CE2AF3"/>
    <w:rsid w:val="00CE621D"/>
    <w:rsid w:val="00CE66E8"/>
    <w:rsid w:val="00D05388"/>
    <w:rsid w:val="00D114CD"/>
    <w:rsid w:val="00D14476"/>
    <w:rsid w:val="00D232FF"/>
    <w:rsid w:val="00D279AA"/>
    <w:rsid w:val="00D34544"/>
    <w:rsid w:val="00D44A97"/>
    <w:rsid w:val="00D45C0C"/>
    <w:rsid w:val="00D508A5"/>
    <w:rsid w:val="00D5104B"/>
    <w:rsid w:val="00D555D8"/>
    <w:rsid w:val="00D60778"/>
    <w:rsid w:val="00D64D28"/>
    <w:rsid w:val="00D6604D"/>
    <w:rsid w:val="00D677F1"/>
    <w:rsid w:val="00D74601"/>
    <w:rsid w:val="00D83E46"/>
    <w:rsid w:val="00D847B6"/>
    <w:rsid w:val="00DA6169"/>
    <w:rsid w:val="00DB5480"/>
    <w:rsid w:val="00DB6317"/>
    <w:rsid w:val="00DC5AD9"/>
    <w:rsid w:val="00DC691F"/>
    <w:rsid w:val="00DD02DE"/>
    <w:rsid w:val="00DD07B7"/>
    <w:rsid w:val="00DD113C"/>
    <w:rsid w:val="00DE0BEB"/>
    <w:rsid w:val="00DE4856"/>
    <w:rsid w:val="00DF485B"/>
    <w:rsid w:val="00E21B77"/>
    <w:rsid w:val="00E40CAD"/>
    <w:rsid w:val="00E44530"/>
    <w:rsid w:val="00E61D2E"/>
    <w:rsid w:val="00E62B7F"/>
    <w:rsid w:val="00E726BC"/>
    <w:rsid w:val="00E72821"/>
    <w:rsid w:val="00E81DDC"/>
    <w:rsid w:val="00E81F67"/>
    <w:rsid w:val="00E83650"/>
    <w:rsid w:val="00E83A31"/>
    <w:rsid w:val="00E93E51"/>
    <w:rsid w:val="00E97CC0"/>
    <w:rsid w:val="00EA2524"/>
    <w:rsid w:val="00EC092D"/>
    <w:rsid w:val="00EC0DF8"/>
    <w:rsid w:val="00ED378B"/>
    <w:rsid w:val="00EE08F9"/>
    <w:rsid w:val="00EE5B3F"/>
    <w:rsid w:val="00EF728A"/>
    <w:rsid w:val="00EF7D0D"/>
    <w:rsid w:val="00F00FF7"/>
    <w:rsid w:val="00F02093"/>
    <w:rsid w:val="00F068E3"/>
    <w:rsid w:val="00F10B5F"/>
    <w:rsid w:val="00F218C1"/>
    <w:rsid w:val="00F321EB"/>
    <w:rsid w:val="00F346CF"/>
    <w:rsid w:val="00F3610C"/>
    <w:rsid w:val="00F52A5F"/>
    <w:rsid w:val="00F55954"/>
    <w:rsid w:val="00F61962"/>
    <w:rsid w:val="00F62865"/>
    <w:rsid w:val="00F64022"/>
    <w:rsid w:val="00F64660"/>
    <w:rsid w:val="00F97062"/>
    <w:rsid w:val="00F9745D"/>
    <w:rsid w:val="00FC7B53"/>
    <w:rsid w:val="00FD48CC"/>
    <w:rsid w:val="00FE62D1"/>
    <w:rsid w:val="00FF26BF"/>
    <w:rsid w:val="018023CE"/>
    <w:rsid w:val="01881AD6"/>
    <w:rsid w:val="01B938AA"/>
    <w:rsid w:val="021832B7"/>
    <w:rsid w:val="024E2E49"/>
    <w:rsid w:val="02A741FD"/>
    <w:rsid w:val="02C16E5D"/>
    <w:rsid w:val="02D964CF"/>
    <w:rsid w:val="03707410"/>
    <w:rsid w:val="037F03E3"/>
    <w:rsid w:val="03A0770F"/>
    <w:rsid w:val="03A27BF9"/>
    <w:rsid w:val="03A448B8"/>
    <w:rsid w:val="044E156F"/>
    <w:rsid w:val="04DF1036"/>
    <w:rsid w:val="050F7C4F"/>
    <w:rsid w:val="05A97DEC"/>
    <w:rsid w:val="05C81981"/>
    <w:rsid w:val="06B051C4"/>
    <w:rsid w:val="06BC41F2"/>
    <w:rsid w:val="0704681D"/>
    <w:rsid w:val="07197D08"/>
    <w:rsid w:val="071C2CFD"/>
    <w:rsid w:val="071E5C55"/>
    <w:rsid w:val="073F7319"/>
    <w:rsid w:val="07615EC0"/>
    <w:rsid w:val="077005AB"/>
    <w:rsid w:val="078F4581"/>
    <w:rsid w:val="07995C5E"/>
    <w:rsid w:val="07BE179A"/>
    <w:rsid w:val="07BF027F"/>
    <w:rsid w:val="07F27FCE"/>
    <w:rsid w:val="08031A31"/>
    <w:rsid w:val="081A5CC7"/>
    <w:rsid w:val="084A42FA"/>
    <w:rsid w:val="09061A75"/>
    <w:rsid w:val="09182241"/>
    <w:rsid w:val="093C069F"/>
    <w:rsid w:val="09855177"/>
    <w:rsid w:val="09F1637C"/>
    <w:rsid w:val="0AA534D5"/>
    <w:rsid w:val="0AA650EB"/>
    <w:rsid w:val="0AF47339"/>
    <w:rsid w:val="0B22594B"/>
    <w:rsid w:val="0BC044BE"/>
    <w:rsid w:val="0BDF26F7"/>
    <w:rsid w:val="0C2B4952"/>
    <w:rsid w:val="0C7B2220"/>
    <w:rsid w:val="0D890E47"/>
    <w:rsid w:val="0DC64A00"/>
    <w:rsid w:val="0DF01E69"/>
    <w:rsid w:val="0DFC60BA"/>
    <w:rsid w:val="0E4249F1"/>
    <w:rsid w:val="0EED25CA"/>
    <w:rsid w:val="0F7C5FF6"/>
    <w:rsid w:val="0FC63FBD"/>
    <w:rsid w:val="106C564D"/>
    <w:rsid w:val="107B7B8F"/>
    <w:rsid w:val="107C67CE"/>
    <w:rsid w:val="109D68CB"/>
    <w:rsid w:val="10A949B8"/>
    <w:rsid w:val="11200D07"/>
    <w:rsid w:val="11DA73AF"/>
    <w:rsid w:val="12C60D80"/>
    <w:rsid w:val="131F7A3A"/>
    <w:rsid w:val="132645D0"/>
    <w:rsid w:val="13455ABC"/>
    <w:rsid w:val="1370322B"/>
    <w:rsid w:val="13B27845"/>
    <w:rsid w:val="141A03E1"/>
    <w:rsid w:val="143B2E0B"/>
    <w:rsid w:val="14892735"/>
    <w:rsid w:val="14CC769D"/>
    <w:rsid w:val="15B45110"/>
    <w:rsid w:val="15D359D7"/>
    <w:rsid w:val="15D81E0F"/>
    <w:rsid w:val="163C77BE"/>
    <w:rsid w:val="1679588C"/>
    <w:rsid w:val="16994962"/>
    <w:rsid w:val="16A71041"/>
    <w:rsid w:val="16AA24BF"/>
    <w:rsid w:val="16F72341"/>
    <w:rsid w:val="174C51C9"/>
    <w:rsid w:val="17680CAB"/>
    <w:rsid w:val="176E4128"/>
    <w:rsid w:val="1783371F"/>
    <w:rsid w:val="17CA3846"/>
    <w:rsid w:val="17E62B67"/>
    <w:rsid w:val="180F4499"/>
    <w:rsid w:val="18221ECE"/>
    <w:rsid w:val="188C58B7"/>
    <w:rsid w:val="19A2789F"/>
    <w:rsid w:val="1A14448A"/>
    <w:rsid w:val="1A460CF5"/>
    <w:rsid w:val="1A7F297D"/>
    <w:rsid w:val="1AB16AC1"/>
    <w:rsid w:val="1B034A52"/>
    <w:rsid w:val="1B1F34AD"/>
    <w:rsid w:val="1B8D5DC6"/>
    <w:rsid w:val="1C750ECE"/>
    <w:rsid w:val="1D0836D7"/>
    <w:rsid w:val="1D196139"/>
    <w:rsid w:val="1E010AF7"/>
    <w:rsid w:val="1E0178EB"/>
    <w:rsid w:val="1E301173"/>
    <w:rsid w:val="1EA40BB4"/>
    <w:rsid w:val="1F43381C"/>
    <w:rsid w:val="1FA4148D"/>
    <w:rsid w:val="20121621"/>
    <w:rsid w:val="201A421D"/>
    <w:rsid w:val="204E554F"/>
    <w:rsid w:val="20590035"/>
    <w:rsid w:val="20AD68AA"/>
    <w:rsid w:val="20FC799E"/>
    <w:rsid w:val="22154DDD"/>
    <w:rsid w:val="22213E42"/>
    <w:rsid w:val="22336873"/>
    <w:rsid w:val="23BB4E7D"/>
    <w:rsid w:val="23C172D6"/>
    <w:rsid w:val="23F04F64"/>
    <w:rsid w:val="24814CBE"/>
    <w:rsid w:val="24AC168B"/>
    <w:rsid w:val="258C3BEC"/>
    <w:rsid w:val="260E3862"/>
    <w:rsid w:val="26F56CE2"/>
    <w:rsid w:val="27A34F71"/>
    <w:rsid w:val="27B36A67"/>
    <w:rsid w:val="27EB0D9B"/>
    <w:rsid w:val="286602C8"/>
    <w:rsid w:val="28665C95"/>
    <w:rsid w:val="290B3EB9"/>
    <w:rsid w:val="291418C2"/>
    <w:rsid w:val="2950768C"/>
    <w:rsid w:val="297A5FC4"/>
    <w:rsid w:val="2A8D4F8F"/>
    <w:rsid w:val="2A911082"/>
    <w:rsid w:val="2A917B34"/>
    <w:rsid w:val="2AE3766F"/>
    <w:rsid w:val="2B7E4054"/>
    <w:rsid w:val="2BF22742"/>
    <w:rsid w:val="2C9716FA"/>
    <w:rsid w:val="2C987C56"/>
    <w:rsid w:val="2CFF149A"/>
    <w:rsid w:val="2D201865"/>
    <w:rsid w:val="2D4B5CEA"/>
    <w:rsid w:val="2D652658"/>
    <w:rsid w:val="2DC80C49"/>
    <w:rsid w:val="2DCA6355"/>
    <w:rsid w:val="2DF0699F"/>
    <w:rsid w:val="2E166748"/>
    <w:rsid w:val="2E36635C"/>
    <w:rsid w:val="2E556F01"/>
    <w:rsid w:val="2E606F06"/>
    <w:rsid w:val="2E8E20B4"/>
    <w:rsid w:val="2ED06066"/>
    <w:rsid w:val="2ED1223D"/>
    <w:rsid w:val="2EE470F7"/>
    <w:rsid w:val="2F000139"/>
    <w:rsid w:val="2F561B8A"/>
    <w:rsid w:val="2F9F42DC"/>
    <w:rsid w:val="2FF37AB3"/>
    <w:rsid w:val="30FF27D2"/>
    <w:rsid w:val="31170995"/>
    <w:rsid w:val="31264A30"/>
    <w:rsid w:val="31884E67"/>
    <w:rsid w:val="31A0275E"/>
    <w:rsid w:val="31ED6B08"/>
    <w:rsid w:val="32AB70C5"/>
    <w:rsid w:val="32DC33E0"/>
    <w:rsid w:val="32FC56C2"/>
    <w:rsid w:val="335D0AF5"/>
    <w:rsid w:val="3370088C"/>
    <w:rsid w:val="33A3154A"/>
    <w:rsid w:val="33DC2F78"/>
    <w:rsid w:val="3428227C"/>
    <w:rsid w:val="34387633"/>
    <w:rsid w:val="35602226"/>
    <w:rsid w:val="356B72E7"/>
    <w:rsid w:val="3572424F"/>
    <w:rsid w:val="35FC3844"/>
    <w:rsid w:val="36AD519D"/>
    <w:rsid w:val="36B57705"/>
    <w:rsid w:val="37A103ED"/>
    <w:rsid w:val="37EA5E6E"/>
    <w:rsid w:val="37FF016F"/>
    <w:rsid w:val="38427C0B"/>
    <w:rsid w:val="387C5ABE"/>
    <w:rsid w:val="389B3A1E"/>
    <w:rsid w:val="38EB6119"/>
    <w:rsid w:val="39FE0BE9"/>
    <w:rsid w:val="3A3C1AAF"/>
    <w:rsid w:val="3A51228C"/>
    <w:rsid w:val="3A552E60"/>
    <w:rsid w:val="3A5D642F"/>
    <w:rsid w:val="3AB210FC"/>
    <w:rsid w:val="3BCD72F7"/>
    <w:rsid w:val="3BEC05CB"/>
    <w:rsid w:val="3C414142"/>
    <w:rsid w:val="3CF737A2"/>
    <w:rsid w:val="3D10295A"/>
    <w:rsid w:val="3D6C35D3"/>
    <w:rsid w:val="3E0572FD"/>
    <w:rsid w:val="3E1A5292"/>
    <w:rsid w:val="3E5A7FE7"/>
    <w:rsid w:val="3EB354D6"/>
    <w:rsid w:val="3EF66B2E"/>
    <w:rsid w:val="3F217914"/>
    <w:rsid w:val="3FD70BB0"/>
    <w:rsid w:val="3FFB55AC"/>
    <w:rsid w:val="401C5F9D"/>
    <w:rsid w:val="401C690C"/>
    <w:rsid w:val="401D7195"/>
    <w:rsid w:val="40CE3DC0"/>
    <w:rsid w:val="40D7455A"/>
    <w:rsid w:val="40E743E5"/>
    <w:rsid w:val="41734CBA"/>
    <w:rsid w:val="41DD7057"/>
    <w:rsid w:val="420F7A65"/>
    <w:rsid w:val="4216611A"/>
    <w:rsid w:val="423E300F"/>
    <w:rsid w:val="425656C8"/>
    <w:rsid w:val="4257273C"/>
    <w:rsid w:val="42677B61"/>
    <w:rsid w:val="42B21AD2"/>
    <w:rsid w:val="42FD694D"/>
    <w:rsid w:val="43FA5777"/>
    <w:rsid w:val="44044D92"/>
    <w:rsid w:val="441C1611"/>
    <w:rsid w:val="443C440B"/>
    <w:rsid w:val="443F7DBF"/>
    <w:rsid w:val="44514F52"/>
    <w:rsid w:val="44FA2D53"/>
    <w:rsid w:val="4571374F"/>
    <w:rsid w:val="458B1BB0"/>
    <w:rsid w:val="45EE580F"/>
    <w:rsid w:val="4611075B"/>
    <w:rsid w:val="46214818"/>
    <w:rsid w:val="467A0297"/>
    <w:rsid w:val="468B7125"/>
    <w:rsid w:val="46C4691F"/>
    <w:rsid w:val="479D1D34"/>
    <w:rsid w:val="47B609C0"/>
    <w:rsid w:val="47C64906"/>
    <w:rsid w:val="47D5447C"/>
    <w:rsid w:val="482D31EA"/>
    <w:rsid w:val="482F164C"/>
    <w:rsid w:val="485970A0"/>
    <w:rsid w:val="487336F4"/>
    <w:rsid w:val="48B65C71"/>
    <w:rsid w:val="48F303D7"/>
    <w:rsid w:val="492837FF"/>
    <w:rsid w:val="492E6A57"/>
    <w:rsid w:val="4A0030EE"/>
    <w:rsid w:val="4AC36065"/>
    <w:rsid w:val="4AE55CDC"/>
    <w:rsid w:val="4B7501F5"/>
    <w:rsid w:val="4B8C2DEB"/>
    <w:rsid w:val="4B9E5865"/>
    <w:rsid w:val="4BFA3C9F"/>
    <w:rsid w:val="4C0E3379"/>
    <w:rsid w:val="4C107F48"/>
    <w:rsid w:val="4C3277BC"/>
    <w:rsid w:val="4CC353EB"/>
    <w:rsid w:val="4CF36F3C"/>
    <w:rsid w:val="4D4F67BA"/>
    <w:rsid w:val="4D603399"/>
    <w:rsid w:val="4D867EE1"/>
    <w:rsid w:val="4DBC4C65"/>
    <w:rsid w:val="4DF6568D"/>
    <w:rsid w:val="4E550010"/>
    <w:rsid w:val="4E5F14CB"/>
    <w:rsid w:val="4F3705F8"/>
    <w:rsid w:val="4FAC3540"/>
    <w:rsid w:val="4FBB12F4"/>
    <w:rsid w:val="4FCF1583"/>
    <w:rsid w:val="4FFA7625"/>
    <w:rsid w:val="501B0BF9"/>
    <w:rsid w:val="507D2599"/>
    <w:rsid w:val="5096229D"/>
    <w:rsid w:val="50DC4184"/>
    <w:rsid w:val="514C3EA7"/>
    <w:rsid w:val="519849E5"/>
    <w:rsid w:val="52506DA7"/>
    <w:rsid w:val="533B2B84"/>
    <w:rsid w:val="537A7243"/>
    <w:rsid w:val="539C1B81"/>
    <w:rsid w:val="53AE750F"/>
    <w:rsid w:val="53F263AD"/>
    <w:rsid w:val="54630191"/>
    <w:rsid w:val="549A6BFA"/>
    <w:rsid w:val="54E72921"/>
    <w:rsid w:val="55FA2961"/>
    <w:rsid w:val="561141F8"/>
    <w:rsid w:val="565E7F4F"/>
    <w:rsid w:val="56857D06"/>
    <w:rsid w:val="56914056"/>
    <w:rsid w:val="56A20B63"/>
    <w:rsid w:val="56DB613D"/>
    <w:rsid w:val="57056A1C"/>
    <w:rsid w:val="57FC2169"/>
    <w:rsid w:val="58096275"/>
    <w:rsid w:val="581C04F1"/>
    <w:rsid w:val="582E6EF7"/>
    <w:rsid w:val="58434392"/>
    <w:rsid w:val="584E30E6"/>
    <w:rsid w:val="585C555B"/>
    <w:rsid w:val="59014D02"/>
    <w:rsid w:val="593709AF"/>
    <w:rsid w:val="596B53A3"/>
    <w:rsid w:val="597B384D"/>
    <w:rsid w:val="59996DA8"/>
    <w:rsid w:val="59C30F1B"/>
    <w:rsid w:val="5A20156F"/>
    <w:rsid w:val="5AC7121C"/>
    <w:rsid w:val="5AD90B8D"/>
    <w:rsid w:val="5AE12927"/>
    <w:rsid w:val="5B2243E9"/>
    <w:rsid w:val="5B4E1A44"/>
    <w:rsid w:val="5B666742"/>
    <w:rsid w:val="5B873201"/>
    <w:rsid w:val="5B967767"/>
    <w:rsid w:val="5B9E55DE"/>
    <w:rsid w:val="5C286807"/>
    <w:rsid w:val="5C446BC8"/>
    <w:rsid w:val="5C4C687B"/>
    <w:rsid w:val="5C7C2768"/>
    <w:rsid w:val="5CB23AE6"/>
    <w:rsid w:val="5CF55792"/>
    <w:rsid w:val="5CFD533A"/>
    <w:rsid w:val="5D893B14"/>
    <w:rsid w:val="5E2B7D62"/>
    <w:rsid w:val="5EA06921"/>
    <w:rsid w:val="5ED5006A"/>
    <w:rsid w:val="5ED95668"/>
    <w:rsid w:val="5F576E4B"/>
    <w:rsid w:val="5F7A2C30"/>
    <w:rsid w:val="5FBE370A"/>
    <w:rsid w:val="60292845"/>
    <w:rsid w:val="612E1A5D"/>
    <w:rsid w:val="61816046"/>
    <w:rsid w:val="62391564"/>
    <w:rsid w:val="62816669"/>
    <w:rsid w:val="62BA0953"/>
    <w:rsid w:val="62D03A7C"/>
    <w:rsid w:val="62F648FE"/>
    <w:rsid w:val="638E72EA"/>
    <w:rsid w:val="63A10995"/>
    <w:rsid w:val="63C23EFA"/>
    <w:rsid w:val="643A070A"/>
    <w:rsid w:val="644C573D"/>
    <w:rsid w:val="648667A7"/>
    <w:rsid w:val="64DB383A"/>
    <w:rsid w:val="65032F85"/>
    <w:rsid w:val="65136B50"/>
    <w:rsid w:val="657E2A35"/>
    <w:rsid w:val="65A94E9D"/>
    <w:rsid w:val="65C60A92"/>
    <w:rsid w:val="66DD6702"/>
    <w:rsid w:val="679406CB"/>
    <w:rsid w:val="686D44B6"/>
    <w:rsid w:val="68AD17BB"/>
    <w:rsid w:val="68D47816"/>
    <w:rsid w:val="68D94D22"/>
    <w:rsid w:val="692B2E4A"/>
    <w:rsid w:val="694303FB"/>
    <w:rsid w:val="696A0B34"/>
    <w:rsid w:val="698D6A17"/>
    <w:rsid w:val="69EE3535"/>
    <w:rsid w:val="69F954C1"/>
    <w:rsid w:val="6A2031B6"/>
    <w:rsid w:val="6A440C53"/>
    <w:rsid w:val="6AC61F6F"/>
    <w:rsid w:val="6ADE74F0"/>
    <w:rsid w:val="6B1002C0"/>
    <w:rsid w:val="6B723594"/>
    <w:rsid w:val="6B805156"/>
    <w:rsid w:val="6BD50977"/>
    <w:rsid w:val="6BEA2A9B"/>
    <w:rsid w:val="6C9C0875"/>
    <w:rsid w:val="6CAA3931"/>
    <w:rsid w:val="6D3933CA"/>
    <w:rsid w:val="6D7B61EC"/>
    <w:rsid w:val="6DD049FF"/>
    <w:rsid w:val="6E09491E"/>
    <w:rsid w:val="6E0D3655"/>
    <w:rsid w:val="6E5F4465"/>
    <w:rsid w:val="6E8C54DA"/>
    <w:rsid w:val="6EF11E03"/>
    <w:rsid w:val="6F111C62"/>
    <w:rsid w:val="6F2176E5"/>
    <w:rsid w:val="6F3053CA"/>
    <w:rsid w:val="6F592303"/>
    <w:rsid w:val="6F5F5B74"/>
    <w:rsid w:val="6F9B1C65"/>
    <w:rsid w:val="6FFB146E"/>
    <w:rsid w:val="701A5C74"/>
    <w:rsid w:val="706516C3"/>
    <w:rsid w:val="70896E68"/>
    <w:rsid w:val="71356DED"/>
    <w:rsid w:val="715B60E9"/>
    <w:rsid w:val="71EA1FED"/>
    <w:rsid w:val="72C16204"/>
    <w:rsid w:val="730313F6"/>
    <w:rsid w:val="731E1007"/>
    <w:rsid w:val="73370D24"/>
    <w:rsid w:val="7359268C"/>
    <w:rsid w:val="739503EB"/>
    <w:rsid w:val="73A05B28"/>
    <w:rsid w:val="73C07D69"/>
    <w:rsid w:val="74B42AE4"/>
    <w:rsid w:val="750A429D"/>
    <w:rsid w:val="755D38A7"/>
    <w:rsid w:val="75614792"/>
    <w:rsid w:val="75784473"/>
    <w:rsid w:val="757E044C"/>
    <w:rsid w:val="75977BC3"/>
    <w:rsid w:val="75B161B3"/>
    <w:rsid w:val="75E470E3"/>
    <w:rsid w:val="76736B32"/>
    <w:rsid w:val="76E3765E"/>
    <w:rsid w:val="76FC2AFA"/>
    <w:rsid w:val="77653671"/>
    <w:rsid w:val="778546CC"/>
    <w:rsid w:val="77B56730"/>
    <w:rsid w:val="77C04A8B"/>
    <w:rsid w:val="77D85DB3"/>
    <w:rsid w:val="78027772"/>
    <w:rsid w:val="78A50513"/>
    <w:rsid w:val="796518DD"/>
    <w:rsid w:val="79AA0532"/>
    <w:rsid w:val="79FE1DDD"/>
    <w:rsid w:val="7A075767"/>
    <w:rsid w:val="7A212062"/>
    <w:rsid w:val="7A282A11"/>
    <w:rsid w:val="7AC21562"/>
    <w:rsid w:val="7AD474A4"/>
    <w:rsid w:val="7B5350AD"/>
    <w:rsid w:val="7B697C89"/>
    <w:rsid w:val="7B8D34C3"/>
    <w:rsid w:val="7B971D84"/>
    <w:rsid w:val="7BF32F03"/>
    <w:rsid w:val="7C1724A5"/>
    <w:rsid w:val="7CA54112"/>
    <w:rsid w:val="7CE50CE4"/>
    <w:rsid w:val="7D2E5ABF"/>
    <w:rsid w:val="7E2142A2"/>
    <w:rsid w:val="7E5A6DFA"/>
    <w:rsid w:val="7E7B0BF2"/>
    <w:rsid w:val="7E8D75B6"/>
    <w:rsid w:val="7EF760EE"/>
    <w:rsid w:val="7F0B1DD8"/>
    <w:rsid w:val="7F2A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61"/>
      <w:ind w:left="120"/>
    </w:pPr>
    <w:rPr>
      <w:rFonts w:ascii="宋体" w:hAnsi="宋体" w:eastAsia="宋体" w:cs="宋体"/>
      <w:sz w:val="24"/>
      <w:lang w:val="zh-CN" w:bidi="zh-CN"/>
    </w:rPr>
  </w:style>
  <w:style w:type="paragraph" w:styleId="6">
    <w:name w:val="annotation text"/>
    <w:basedOn w:val="1"/>
    <w:semiHidden/>
    <w:unhideWhenUsed/>
    <w:qFormat/>
    <w:uiPriority w:val="99"/>
    <w:pPr>
      <w:jc w:val="left"/>
    </w:pPr>
  </w:style>
  <w:style w:type="paragraph" w:styleId="7">
    <w:name w:val="toc 3"/>
    <w:basedOn w:val="1"/>
    <w:next w:val="1"/>
    <w:unhideWhenUsed/>
    <w:qFormat/>
    <w:uiPriority w:val="39"/>
    <w:pPr>
      <w:tabs>
        <w:tab w:val="right" w:leader="dot" w:pos="8296"/>
      </w:tabs>
      <w:ind w:left="838" w:leftChars="381"/>
    </w:pPr>
    <w:rPr>
      <w:sz w:val="21"/>
      <w:szCs w:val="21"/>
    </w:rPr>
  </w:style>
  <w:style w:type="paragraph" w:styleId="8">
    <w:name w:val="Plain Text"/>
    <w:basedOn w:val="1"/>
    <w:link w:val="36"/>
    <w:qFormat/>
    <w:uiPriority w:val="0"/>
    <w:pPr>
      <w:widowControl w:val="0"/>
      <w:adjustRightInd/>
      <w:snapToGrid/>
      <w:spacing w:after="0"/>
      <w:jc w:val="both"/>
    </w:pPr>
    <w:rPr>
      <w:rFonts w:ascii="宋体" w:hAnsi="Courier New" w:eastAsia="宋体" w:cs="Times New Roman"/>
      <w:b/>
      <w:kern w:val="2"/>
      <w:sz w:val="21"/>
      <w:szCs w:val="20"/>
    </w:rPr>
  </w:style>
  <w:style w:type="paragraph" w:styleId="9">
    <w:name w:val="Balloon Text"/>
    <w:basedOn w:val="1"/>
    <w:link w:val="39"/>
    <w:semiHidden/>
    <w:unhideWhenUsed/>
    <w:qFormat/>
    <w:uiPriority w:val="99"/>
    <w:pPr>
      <w:spacing w:after="0"/>
    </w:pPr>
    <w:rPr>
      <w:sz w:val="18"/>
      <w:szCs w:val="18"/>
    </w:rPr>
  </w:style>
  <w:style w:type="paragraph" w:styleId="10">
    <w:name w:val="footer"/>
    <w:basedOn w:val="1"/>
    <w:link w:val="38"/>
    <w:unhideWhenUsed/>
    <w:qFormat/>
    <w:uiPriority w:val="99"/>
    <w:pPr>
      <w:tabs>
        <w:tab w:val="center" w:pos="4153"/>
        <w:tab w:val="right" w:pos="8306"/>
      </w:tabs>
    </w:pPr>
    <w:rPr>
      <w:sz w:val="18"/>
      <w:szCs w:val="18"/>
    </w:rPr>
  </w:style>
  <w:style w:type="paragraph" w:styleId="11">
    <w:name w:val="header"/>
    <w:basedOn w:val="1"/>
    <w:link w:val="37"/>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semiHidden/>
    <w:unhideWhenUsed/>
    <w:qFormat/>
    <w:uiPriority w:val="39"/>
  </w:style>
  <w:style w:type="paragraph" w:styleId="13">
    <w:name w:val="toc 4"/>
    <w:basedOn w:val="1"/>
    <w:next w:val="1"/>
    <w:unhideWhenUsed/>
    <w:qFormat/>
    <w:uiPriority w:val="39"/>
    <w:pPr>
      <w:tabs>
        <w:tab w:val="right" w:leader="dot" w:pos="8296"/>
      </w:tabs>
      <w:spacing w:after="120"/>
      <w:ind w:left="1320" w:leftChars="600"/>
    </w:pPr>
  </w:style>
  <w:style w:type="paragraph" w:styleId="14">
    <w:name w:val="toc 2"/>
    <w:basedOn w:val="1"/>
    <w:next w:val="1"/>
    <w:unhideWhenUsed/>
    <w:qFormat/>
    <w:uiPriority w:val="39"/>
    <w:pPr>
      <w:tabs>
        <w:tab w:val="right" w:leader="dot" w:pos="8296"/>
      </w:tabs>
      <w:spacing w:after="0" w:line="360" w:lineRule="auto"/>
      <w:ind w:left="440" w:leftChars="200"/>
      <w:jc w:val="center"/>
    </w:pPr>
    <w:rPr>
      <w:rFonts w:ascii="宋体" w:hAnsi="宋体" w:eastAsia="宋体"/>
      <w:sz w:val="30"/>
      <w:szCs w:val="30"/>
    </w:rPr>
  </w:style>
  <w:style w:type="paragraph" w:styleId="15">
    <w:name w:val="Normal (Web)"/>
    <w:basedOn w:val="1"/>
    <w:link w:val="41"/>
    <w:qFormat/>
    <w:uiPriority w:val="0"/>
    <w:pPr>
      <w:widowControl w:val="0"/>
      <w:adjustRightInd/>
      <w:snapToGrid/>
      <w:spacing w:after="0"/>
      <w:jc w:val="both"/>
    </w:pPr>
    <w:rPr>
      <w:rFonts w:eastAsia="宋体" w:asciiTheme="minorHAnsi" w:hAnsiTheme="minorHAnsi"/>
      <w:kern w:val="2"/>
      <w:sz w:val="24"/>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semiHidden/>
    <w:unhideWhenUsed/>
    <w:uiPriority w:val="99"/>
    <w:rPr>
      <w:rFonts w:hint="eastAsia" w:ascii="宋体" w:hAnsi="宋体" w:eastAsia="宋体" w:cs="宋体"/>
      <w:color w:val="0031C1"/>
      <w:sz w:val="18"/>
      <w:szCs w:val="18"/>
      <w:u w:val="none"/>
    </w:rPr>
  </w:style>
  <w:style w:type="character" w:styleId="20">
    <w:name w:val="Emphasis"/>
    <w:basedOn w:val="18"/>
    <w:qFormat/>
    <w:uiPriority w:val="20"/>
    <w:rPr>
      <w:i/>
      <w:iCs/>
    </w:rPr>
  </w:style>
  <w:style w:type="character" w:styleId="21">
    <w:name w:val="Hyperlink"/>
    <w:qFormat/>
    <w:uiPriority w:val="99"/>
    <w:rPr>
      <w:rFonts w:hint="eastAsia" w:ascii="宋体" w:hAnsi="宋体" w:eastAsia="宋体" w:cs="宋体"/>
      <w:b/>
      <w:color w:val="0031C1"/>
      <w:kern w:val="0"/>
      <w:sz w:val="18"/>
      <w:szCs w:val="18"/>
      <w:u w:val="none"/>
      <w:lang w:eastAsia="en-US"/>
    </w:rPr>
  </w:style>
  <w:style w:type="character" w:customStyle="1" w:styleId="22">
    <w:name w:val="标题 2 字符"/>
    <w:basedOn w:val="18"/>
    <w:link w:val="3"/>
    <w:qFormat/>
    <w:uiPriority w:val="9"/>
    <w:rPr>
      <w:rFonts w:asciiTheme="majorHAnsi" w:hAnsiTheme="majorHAnsi" w:eastAsiaTheme="majorEastAsia" w:cstheme="majorBidi"/>
      <w:b/>
      <w:bCs/>
      <w:sz w:val="32"/>
      <w:szCs w:val="32"/>
    </w:rPr>
  </w:style>
  <w:style w:type="character" w:customStyle="1" w:styleId="23">
    <w:name w:val="标题 3 字符"/>
    <w:basedOn w:val="18"/>
    <w:link w:val="4"/>
    <w:qFormat/>
    <w:uiPriority w:val="9"/>
    <w:rPr>
      <w:rFonts w:ascii="Tahoma" w:hAnsi="Tahoma"/>
      <w:b/>
      <w:bCs/>
      <w:sz w:val="32"/>
      <w:szCs w:val="32"/>
    </w:rPr>
  </w:style>
  <w:style w:type="paragraph" w:styleId="24">
    <w:name w:val="List Paragraph"/>
    <w:basedOn w:val="1"/>
    <w:qFormat/>
    <w:uiPriority w:val="34"/>
    <w:pPr>
      <w:ind w:firstLine="420" w:firstLineChars="200"/>
    </w:pPr>
  </w:style>
  <w:style w:type="character" w:customStyle="1" w:styleId="25">
    <w:name w:val="标题 4 字符"/>
    <w:basedOn w:val="18"/>
    <w:link w:val="5"/>
    <w:qFormat/>
    <w:uiPriority w:val="9"/>
    <w:rPr>
      <w:rFonts w:asciiTheme="majorHAnsi" w:hAnsiTheme="majorHAnsi" w:eastAsiaTheme="majorEastAsia" w:cstheme="majorBidi"/>
      <w:b/>
      <w:bCs/>
      <w:sz w:val="28"/>
      <w:szCs w:val="28"/>
    </w:rPr>
  </w:style>
  <w:style w:type="character" w:customStyle="1" w:styleId="26">
    <w:name w:val="正文缩进2格 Char"/>
    <w:link w:val="27"/>
    <w:qFormat/>
    <w:uiPriority w:val="0"/>
    <w:rPr>
      <w:rFonts w:ascii="仿宋_GB2312" w:hAnsi="宋体" w:eastAsia="仿宋_GB2312"/>
      <w:kern w:val="2"/>
      <w:sz w:val="31"/>
    </w:rPr>
  </w:style>
  <w:style w:type="paragraph" w:customStyle="1" w:styleId="27">
    <w:name w:val="正文缩进2格"/>
    <w:basedOn w:val="1"/>
    <w:link w:val="26"/>
    <w:qFormat/>
    <w:uiPriority w:val="0"/>
    <w:pPr>
      <w:widowControl w:val="0"/>
      <w:adjustRightInd/>
      <w:snapToGrid/>
      <w:spacing w:after="0" w:line="600" w:lineRule="exact"/>
      <w:ind w:firstLine="639" w:firstLineChars="206"/>
      <w:jc w:val="both"/>
    </w:pPr>
    <w:rPr>
      <w:rFonts w:ascii="仿宋_GB2312" w:hAnsi="宋体" w:eastAsia="仿宋_GB2312"/>
      <w:kern w:val="2"/>
      <w:sz w:val="31"/>
    </w:rPr>
  </w:style>
  <w:style w:type="paragraph" w:customStyle="1" w:styleId="28">
    <w:name w:val="正文缩进4格"/>
    <w:basedOn w:val="27"/>
    <w:qFormat/>
    <w:uiPriority w:val="0"/>
    <w:pPr>
      <w:ind w:left="2" w:firstLine="538" w:firstLineChars="192"/>
    </w:pPr>
    <w:rPr>
      <w:color w:val="0000FF"/>
      <w:sz w:val="28"/>
    </w:rPr>
  </w:style>
  <w:style w:type="character" w:customStyle="1" w:styleId="29">
    <w:name w:val="正文缩进2格 Char Char"/>
    <w:qFormat/>
    <w:uiPriority w:val="0"/>
    <w:rPr>
      <w:rFonts w:ascii="仿宋_GB2312" w:hAnsi="宋体" w:eastAsia="仿宋_GB2312" w:cs="Times New Roman"/>
      <w:b/>
      <w:kern w:val="2"/>
      <w:sz w:val="31"/>
      <w:szCs w:val="28"/>
      <w:lang w:val="en-US" w:eastAsia="zh-CN" w:bidi="ar-SA"/>
    </w:rPr>
  </w:style>
  <w:style w:type="paragraph" w:customStyle="1" w:styleId="30">
    <w:name w:val="_Style 3"/>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character" w:customStyle="1" w:styleId="31">
    <w:name w:val="标题1"/>
    <w:qFormat/>
    <w:uiPriority w:val="0"/>
    <w:rPr>
      <w:rFonts w:ascii="Times New Roman" w:hAnsi="Times New Roman" w:eastAsia="宋体" w:cs="Times New Roman"/>
      <w:b/>
      <w:kern w:val="0"/>
      <w:sz w:val="24"/>
      <w:szCs w:val="20"/>
      <w:lang w:eastAsia="en-US"/>
    </w:rPr>
  </w:style>
  <w:style w:type="character" w:customStyle="1" w:styleId="32">
    <w:name w:val="标题 3.1 Char"/>
    <w:link w:val="33"/>
    <w:qFormat/>
    <w:uiPriority w:val="0"/>
    <w:rPr>
      <w:rFonts w:ascii="宋体" w:hAnsi="宋体" w:eastAsia="宋体"/>
      <w:b/>
      <w:color w:val="FF0000"/>
      <w:kern w:val="2"/>
      <w:sz w:val="32"/>
    </w:rPr>
  </w:style>
  <w:style w:type="paragraph" w:customStyle="1" w:styleId="33">
    <w:name w:val="标题 3.1"/>
    <w:basedOn w:val="4"/>
    <w:link w:val="32"/>
    <w:qFormat/>
    <w:uiPriority w:val="0"/>
    <w:pPr>
      <w:widowControl w:val="0"/>
      <w:tabs>
        <w:tab w:val="left" w:pos="1440"/>
        <w:tab w:val="left" w:pos="1620"/>
      </w:tabs>
      <w:adjustRightInd/>
      <w:snapToGrid/>
      <w:spacing w:line="600" w:lineRule="exact"/>
      <w:jc w:val="both"/>
    </w:pPr>
    <w:rPr>
      <w:rFonts w:ascii="宋体" w:hAnsi="宋体" w:eastAsia="宋体"/>
      <w:bCs w:val="0"/>
      <w:color w:val="FF0000"/>
      <w:kern w:val="2"/>
      <w:szCs w:val="22"/>
    </w:rPr>
  </w:style>
  <w:style w:type="character" w:customStyle="1" w:styleId="34">
    <w:name w:val="样式 楷体_GB2312 小四"/>
    <w:qFormat/>
    <w:uiPriority w:val="0"/>
    <w:rPr>
      <w:rFonts w:ascii="楷体_GB2312" w:hAnsi="楷体_GB2312" w:eastAsia="仿宋_GB2312"/>
      <w:sz w:val="24"/>
    </w:rPr>
  </w:style>
  <w:style w:type="character" w:customStyle="1" w:styleId="35">
    <w:name w:val="纯文本 Char"/>
    <w:qFormat/>
    <w:uiPriority w:val="0"/>
    <w:rPr>
      <w:rFonts w:ascii="宋体" w:hAnsi="Courier New" w:eastAsia="宋体" w:cs="Times New Roman"/>
      <w:b/>
      <w:kern w:val="2"/>
      <w:sz w:val="21"/>
      <w:szCs w:val="20"/>
    </w:rPr>
  </w:style>
  <w:style w:type="character" w:customStyle="1" w:styleId="36">
    <w:name w:val="纯文本 字符"/>
    <w:basedOn w:val="18"/>
    <w:link w:val="8"/>
    <w:semiHidden/>
    <w:qFormat/>
    <w:uiPriority w:val="99"/>
    <w:rPr>
      <w:rFonts w:ascii="宋体" w:hAnsi="Courier New" w:eastAsia="宋体" w:cs="Courier New"/>
      <w:sz w:val="21"/>
      <w:szCs w:val="21"/>
    </w:rPr>
  </w:style>
  <w:style w:type="character" w:customStyle="1" w:styleId="37">
    <w:name w:val="页眉 字符"/>
    <w:basedOn w:val="18"/>
    <w:link w:val="11"/>
    <w:qFormat/>
    <w:uiPriority w:val="99"/>
    <w:rPr>
      <w:rFonts w:ascii="Tahoma" w:hAnsi="Tahoma"/>
      <w:sz w:val="18"/>
      <w:szCs w:val="18"/>
    </w:rPr>
  </w:style>
  <w:style w:type="character" w:customStyle="1" w:styleId="38">
    <w:name w:val="页脚 字符"/>
    <w:basedOn w:val="18"/>
    <w:link w:val="10"/>
    <w:qFormat/>
    <w:uiPriority w:val="99"/>
    <w:rPr>
      <w:rFonts w:ascii="Tahoma" w:hAnsi="Tahoma"/>
      <w:sz w:val="18"/>
      <w:szCs w:val="18"/>
    </w:rPr>
  </w:style>
  <w:style w:type="character" w:customStyle="1" w:styleId="39">
    <w:name w:val="批注框文本 字符"/>
    <w:basedOn w:val="18"/>
    <w:link w:val="9"/>
    <w:semiHidden/>
    <w:qFormat/>
    <w:uiPriority w:val="99"/>
    <w:rPr>
      <w:rFonts w:ascii="Tahoma" w:hAnsi="Tahoma"/>
      <w:sz w:val="18"/>
      <w:szCs w:val="18"/>
    </w:rPr>
  </w:style>
  <w:style w:type="paragraph" w:customStyle="1" w:styleId="40">
    <w:name w:val="Char Char2 Char"/>
    <w:basedOn w:val="1"/>
    <w:qFormat/>
    <w:uiPriority w:val="0"/>
    <w:pPr>
      <w:widowControl w:val="0"/>
      <w:adjustRightInd/>
      <w:snapToGrid/>
      <w:spacing w:after="0"/>
      <w:jc w:val="both"/>
    </w:pPr>
    <w:rPr>
      <w:rFonts w:ascii="宋体" w:hAnsi="宋体" w:eastAsia="宋体" w:cs="Times New Roman"/>
      <w:b/>
      <w:kern w:val="2"/>
      <w:sz w:val="28"/>
      <w:szCs w:val="28"/>
    </w:rPr>
  </w:style>
  <w:style w:type="character" w:customStyle="1" w:styleId="41">
    <w:name w:val="普通(网站) 字符"/>
    <w:link w:val="15"/>
    <w:qFormat/>
    <w:uiPriority w:val="0"/>
    <w:rPr>
      <w:rFonts w:eastAsia="宋体"/>
      <w:kern w:val="2"/>
      <w:sz w:val="24"/>
      <w:szCs w:val="24"/>
    </w:rPr>
  </w:style>
  <w:style w:type="paragraph" w:customStyle="1" w:styleId="42">
    <w:name w:val="列出段落1"/>
    <w:basedOn w:val="1"/>
    <w:qFormat/>
    <w:uiPriority w:val="99"/>
    <w:pPr>
      <w:widowControl w:val="0"/>
      <w:adjustRightInd/>
      <w:snapToGrid/>
      <w:spacing w:after="0" w:line="360" w:lineRule="auto"/>
      <w:ind w:firstLine="420" w:firstLineChars="200"/>
      <w:jc w:val="both"/>
    </w:pPr>
    <w:rPr>
      <w:rFonts w:ascii="Times New Roman" w:hAnsi="Times New Roman" w:eastAsia="宋体" w:cs="Times New Roman"/>
      <w:kern w:val="2"/>
      <w:sz w:val="24"/>
      <w:szCs w:val="24"/>
    </w:rPr>
  </w:style>
  <w:style w:type="character" w:customStyle="1" w:styleId="43">
    <w:name w:val="p141"/>
    <w:qFormat/>
    <w:uiPriority w:val="0"/>
    <w:rPr>
      <w:sz w:val="21"/>
      <w:szCs w:val="21"/>
    </w:rPr>
  </w:style>
  <w:style w:type="paragraph" w:customStyle="1" w:styleId="44">
    <w:name w:val="xl44"/>
    <w:basedOn w:val="1"/>
    <w:qFormat/>
    <w:uiPriority w:val="0"/>
    <w:pPr>
      <w:widowControl/>
      <w:pBdr>
        <w:left w:val="single" w:color="auto" w:sz="4" w:space="0"/>
        <w:right w:val="single" w:color="auto" w:sz="4" w:space="0"/>
      </w:pBdr>
      <w:spacing w:before="100" w:beforeLines="0" w:beforeAutospacing="1" w:after="100" w:afterLines="0" w:afterAutospacing="1"/>
      <w:jc w:val="center"/>
    </w:pPr>
    <w:rPr>
      <w:rFonts w:hint="eastAsia" w:ascii="宋体" w:hAnsi="宋体"/>
      <w:kern w:val="0"/>
      <w:sz w:val="24"/>
    </w:rPr>
  </w:style>
  <w:style w:type="character" w:customStyle="1" w:styleId="45">
    <w:name w:val="active"/>
    <w:basedOn w:val="18"/>
    <w:uiPriority w:val="0"/>
    <w:rPr>
      <w:color w:val="FFFFFF"/>
    </w:rPr>
  </w:style>
  <w:style w:type="character" w:customStyle="1" w:styleId="46">
    <w:name w:val="fielderror"/>
    <w:basedOn w:val="18"/>
    <w:uiPriority w:val="0"/>
    <w:rPr>
      <w:color w:val="800000"/>
    </w:rPr>
  </w:style>
  <w:style w:type="character" w:customStyle="1" w:styleId="47">
    <w:name w:val="required"/>
    <w:basedOn w:val="18"/>
    <w:uiPriority w:val="0"/>
    <w:rPr>
      <w:color w:val="FF0000"/>
    </w:rPr>
  </w:style>
  <w:style w:type="character" w:customStyle="1" w:styleId="48">
    <w:name w:val="tab1"/>
    <w:basedOn w:val="18"/>
    <w:uiPriority w:val="0"/>
  </w:style>
  <w:style w:type="character" w:customStyle="1" w:styleId="49">
    <w:name w:val="tab2"/>
    <w:basedOn w:val="18"/>
    <w:uiPriority w:val="0"/>
    <w:rPr>
      <w:color w:val="333366"/>
    </w:rPr>
  </w:style>
  <w:style w:type="character" w:customStyle="1" w:styleId="50">
    <w:name w:val="hilite6"/>
    <w:basedOn w:val="18"/>
    <w:uiPriority w:val="0"/>
    <w:rPr>
      <w:color w:val="000000"/>
    </w:rPr>
  </w:style>
  <w:style w:type="character" w:customStyle="1" w:styleId="51">
    <w:name w:val="hilite"/>
    <w:basedOn w:val="18"/>
    <w:uiPriority w:val="0"/>
    <w:rPr>
      <w:color w:val="00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BD83C-2A9B-4E6F-A772-FE212356A246}">
  <ds:schemaRefs/>
</ds:datastoreItem>
</file>

<file path=docProps/app.xml><?xml version="1.0" encoding="utf-8"?>
<Properties xmlns="http://schemas.openxmlformats.org/officeDocument/2006/extended-properties" xmlns:vt="http://schemas.openxmlformats.org/officeDocument/2006/docPropsVTypes">
  <Template>Normal</Template>
  <Manager>HLR</Manager>
  <Company>广东三方诚信招标有限公司东莞分公司</Company>
  <Pages>64</Pages>
  <Words>28775</Words>
  <Characters>29670</Characters>
  <Lines>253</Lines>
  <Paragraphs>71</Paragraphs>
  <TotalTime>2</TotalTime>
  <ScaleCrop>false</ScaleCrop>
  <LinksUpToDate>false</LinksUpToDate>
  <CharactersWithSpaces>31584</CharactersWithSpaces>
  <Application>WPS Office_11.1.0.9501_F1E327BC-269C-435d-A152-05C5408002CA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文件</cp:category>
  <dcterms:created xsi:type="dcterms:W3CDTF">2019-07-08T13:55:00Z</dcterms:created>
  <dc:creator>广东三方诚信招标有限公司东莞分公司</dc:creator>
  <cp:keywords>文件格式版本</cp:keywords>
  <cp:lastModifiedBy>YISE</cp:lastModifiedBy>
  <cp:lastPrinted>2020-01-15T00:21:00Z</cp:lastPrinted>
  <dcterms:modified xsi:type="dcterms:W3CDTF">2020-02-17T06:56:39Z</dcterms:modified>
  <dc:subject>公开招标文件版本</dc:subject>
  <dc:title>公开招标文件版本</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