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4F7"/>
  <w:body>
    <w:p w:rsidR="008B24C6" w:rsidRDefault="00653FE4" w:rsidP="00653FE4">
      <w:pPr>
        <w:adjustRightInd w:val="0"/>
        <w:snapToGrid w:val="0"/>
        <w:spacing w:beforeLines="50" w:afterLines="50" w:line="300" w:lineRule="auto"/>
        <w:jc w:val="left"/>
        <w:rPr>
          <w:rFonts w:ascii="微软雅黑" w:eastAsia="微软雅黑" w:hAnsi="微软雅黑"/>
          <w:color w:val="002060"/>
          <w:kern w:val="0"/>
          <w:sz w:val="28"/>
          <w:szCs w:val="30"/>
        </w:rPr>
      </w:pPr>
      <w:r>
        <w:rPr>
          <w:rFonts w:ascii="微软雅黑" w:eastAsia="微软雅黑" w:hAnsi="微软雅黑" w:hint="eastAsia"/>
          <w:b/>
          <w:noProof/>
          <w:color w:val="4A66AC" w:themeColor="accent1"/>
          <w:kern w:val="0"/>
          <w:sz w:val="32"/>
          <w:szCs w:val="3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358140</wp:posOffset>
            </wp:positionV>
            <wp:extent cx="2076450" cy="2903220"/>
            <wp:effectExtent l="19050" t="0" r="0" b="0"/>
            <wp:wrapSquare wrapText="bothSides"/>
            <wp:docPr id="3" name="图片 1" descr="C:\Users\张守瑞\Desktop\产品照片\32756802421006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守瑞\Desktop\产品照片\3275680242100695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5B0" w:rsidRPr="00BB05B0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 xml:space="preserve">M-2060 </w:t>
      </w:r>
      <w:r w:rsidR="00651E04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TVOC固定污染源排放系统</w:t>
      </w:r>
      <w:r w:rsidR="00904AC3">
        <w:rPr>
          <w:rFonts w:ascii="微软雅黑" w:eastAsia="微软雅黑" w:hAnsi="微软雅黑" w:hint="eastAsia"/>
          <w:b/>
          <w:color w:val="4A66AC" w:themeColor="accent1"/>
          <w:kern w:val="0"/>
          <w:sz w:val="32"/>
          <w:szCs w:val="30"/>
        </w:rPr>
        <w:t>（PID）</w:t>
      </w:r>
    </w:p>
    <w:p w:rsidR="008B24C6" w:rsidRPr="00BB05B0" w:rsidRDefault="00651E04" w:rsidP="00653FE4">
      <w:pPr>
        <w:adjustRightInd w:val="0"/>
        <w:snapToGrid w:val="0"/>
        <w:spacing w:beforeLines="50" w:afterLines="50" w:line="300" w:lineRule="auto"/>
        <w:jc w:val="left"/>
        <w:rPr>
          <w:rFonts w:ascii="微软雅黑" w:eastAsia="微软雅黑" w:hAnsi="微软雅黑"/>
          <w:b/>
          <w:color w:val="4A66AC" w:themeColor="accent1"/>
          <w:kern w:val="0"/>
          <w:sz w:val="28"/>
          <w:szCs w:val="28"/>
        </w:rPr>
      </w:pPr>
      <w:r w:rsidRPr="00BB05B0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产品概述</w:t>
      </w:r>
    </w:p>
    <w:p w:rsidR="008B24C6" w:rsidRPr="00BB05B0" w:rsidRDefault="00651E04" w:rsidP="00653FE4">
      <w:pPr>
        <w:adjustRightInd w:val="0"/>
        <w:snapToGrid w:val="0"/>
        <w:spacing w:beforeLines="50" w:afterLines="50" w:line="360" w:lineRule="auto"/>
        <w:ind w:firstLineChars="200" w:firstLine="36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M-2060型固定污染源TVOC在线报警监测系统(PID)由取样子系统、预处理子系统、</w:t>
      </w:r>
      <w:r w:rsidRPr="00BB05B0">
        <w:rPr>
          <w:rFonts w:ascii="微软雅黑" w:eastAsia="微软雅黑" w:hAnsi="微软雅黑"/>
          <w:color w:val="000000"/>
          <w:kern w:val="0"/>
          <w:sz w:val="18"/>
          <w:szCs w:val="18"/>
        </w:rPr>
        <w:t>气态污染物（</w:t>
      </w:r>
      <w:r w:rsidR="0025486A"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TVOC</w:t>
      </w:r>
      <w:r w:rsidRPr="00BB05B0">
        <w:rPr>
          <w:rFonts w:ascii="微软雅黑" w:eastAsia="微软雅黑" w:hAnsi="微软雅黑"/>
          <w:color w:val="000000"/>
          <w:kern w:val="0"/>
          <w:sz w:val="18"/>
          <w:szCs w:val="18"/>
        </w:rPr>
        <w:t>）监测</w:t>
      </w: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子系统、</w:t>
      </w:r>
      <w:r w:rsidRPr="00BB05B0">
        <w:rPr>
          <w:rFonts w:ascii="微软雅黑" w:eastAsia="微软雅黑" w:hAnsi="微软雅黑"/>
          <w:color w:val="000000"/>
          <w:kern w:val="0"/>
          <w:sz w:val="18"/>
          <w:szCs w:val="18"/>
        </w:rPr>
        <w:t>烟气参数（温度、压力</w:t>
      </w: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等</w:t>
      </w:r>
      <w:r w:rsidRPr="00BB05B0">
        <w:rPr>
          <w:rFonts w:ascii="微软雅黑" w:eastAsia="微软雅黑" w:hAnsi="微软雅黑"/>
          <w:color w:val="000000"/>
          <w:kern w:val="0"/>
          <w:sz w:val="18"/>
          <w:szCs w:val="18"/>
        </w:rPr>
        <w:t>）监测</w:t>
      </w: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子系统和</w:t>
      </w:r>
      <w:r w:rsidRPr="00BB05B0">
        <w:rPr>
          <w:rFonts w:ascii="微软雅黑" w:eastAsia="微软雅黑" w:hAnsi="微软雅黑"/>
          <w:color w:val="000000"/>
          <w:kern w:val="0"/>
          <w:sz w:val="18"/>
          <w:szCs w:val="18"/>
        </w:rPr>
        <w:t>数据采集与处理子系统组成</w:t>
      </w: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，烟气经预处理系统除尘除水，再通光离子检测仪进行测量分析，经过分析后得到测量浓度，再经数据处理上传工控电脑与环保平台。采用光离子检测技术，响应时间快，检测灵敏度高；预处理单元稳定可靠，集成多种先进技术，包括：国际领先的隔膜泵技术，气路堵塞自动检测及保护技术、热电制冷除湿技术。</w:t>
      </w:r>
    </w:p>
    <w:p w:rsidR="008B24C6" w:rsidRPr="00BB05B0" w:rsidRDefault="00651E04">
      <w:pPr>
        <w:widowControl/>
        <w:jc w:val="left"/>
        <w:rPr>
          <w:rFonts w:ascii="微软雅黑" w:eastAsia="微软雅黑" w:hAnsi="微软雅黑"/>
          <w:b/>
          <w:color w:val="002060"/>
          <w:kern w:val="0"/>
          <w:sz w:val="28"/>
          <w:szCs w:val="30"/>
        </w:rPr>
      </w:pPr>
      <w:r w:rsidRPr="00BB05B0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 xml:space="preserve">技术指标 </w:t>
      </w:r>
      <w:r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                         </w:t>
      </w:r>
      <w:r w:rsidR="00653FE4">
        <w:rPr>
          <w:rFonts w:ascii="微软雅黑" w:eastAsia="微软雅黑" w:hAnsi="微软雅黑" w:hint="eastAsia"/>
          <w:b/>
          <w:color w:val="002060"/>
          <w:kern w:val="0"/>
          <w:sz w:val="28"/>
          <w:szCs w:val="30"/>
        </w:rPr>
        <w:t xml:space="preserve">  </w:t>
      </w:r>
      <w:r w:rsidRPr="00BB05B0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产品特点</w:t>
      </w:r>
    </w:p>
    <w:tbl>
      <w:tblPr>
        <w:tblStyle w:val="a7"/>
        <w:tblpPr w:leftFromText="180" w:rightFromText="180" w:vertAnchor="text" w:horzAnchor="margin" w:tblpX="108" w:tblpY="22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686"/>
      </w:tblGrid>
      <w:tr w:rsidR="008B24C6" w:rsidTr="00BB05B0">
        <w:trPr>
          <w:trHeight w:val="567"/>
        </w:trPr>
        <w:tc>
          <w:tcPr>
            <w:tcW w:w="1242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设备名称</w:t>
            </w:r>
          </w:p>
        </w:tc>
        <w:tc>
          <w:tcPr>
            <w:tcW w:w="3686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固定污染源TVOC在线报警监测系统(PID)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型</w:t>
            </w:r>
            <w:r w:rsidR="00BB05B0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号</w:t>
            </w:r>
          </w:p>
        </w:tc>
        <w:tc>
          <w:tcPr>
            <w:tcW w:w="3686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M-2060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监测因子</w:t>
            </w:r>
          </w:p>
        </w:tc>
        <w:tc>
          <w:tcPr>
            <w:tcW w:w="3686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25486A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TVOC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监测原理</w:t>
            </w:r>
          </w:p>
        </w:tc>
        <w:tc>
          <w:tcPr>
            <w:tcW w:w="3686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PID光离子化分析</w:t>
            </w:r>
          </w:p>
        </w:tc>
      </w:tr>
      <w:tr w:rsidR="008B24C6" w:rsidTr="00BB05B0">
        <w:trPr>
          <w:trHeight w:val="789"/>
        </w:trPr>
        <w:tc>
          <w:tcPr>
            <w:tcW w:w="1242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量</w:t>
            </w:r>
            <w:r w:rsidR="00BB05B0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程</w:t>
            </w:r>
          </w:p>
        </w:tc>
        <w:tc>
          <w:tcPr>
            <w:tcW w:w="3686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25486A" w:rsidP="00653FE4">
            <w:pPr>
              <w:pStyle w:val="a6"/>
              <w:kinsoku w:val="0"/>
              <w:overflowPunct w:val="0"/>
              <w:adjustRightInd w:val="0"/>
              <w:snapToGrid w:val="0"/>
              <w:spacing w:beforeLines="34" w:beforeAutospacing="0" w:afterLines="34" w:afterAutospacing="0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TVOC</w:t>
            </w:r>
            <w:r w:rsidR="00BB05B0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</w:t>
            </w:r>
            <w:r w:rsidR="00BB05B0">
              <w:rPr>
                <w:rFonts w:ascii="微软雅黑" w:eastAsia="微软雅黑" w:hAnsi="微软雅黑"/>
                <w:sz w:val="18"/>
                <w:szCs w:val="18"/>
              </w:rPr>
              <w:t>0~</w:t>
            </w:r>
            <w:r w:rsidR="00651E04" w:rsidRPr="00BB05B0">
              <w:rPr>
                <w:rFonts w:ascii="微软雅黑" w:eastAsia="微软雅黑" w:hAnsi="微软雅黑"/>
                <w:sz w:val="18"/>
                <w:szCs w:val="18"/>
              </w:rPr>
              <w:t>20/50/100/200/1000/5000</w:t>
            </w:r>
            <w:r w:rsidR="00651E04" w:rsidRPr="00BB05B0">
              <w:rPr>
                <w:rFonts w:ascii="微软雅黑" w:eastAsia="微软雅黑" w:hAnsi="微软雅黑" w:hint="eastAsia"/>
                <w:sz w:val="18"/>
                <w:szCs w:val="18"/>
              </w:rPr>
              <w:t>mg/m3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pStyle w:val="a6"/>
              <w:widowControl/>
              <w:adjustRightInd w:val="0"/>
              <w:snapToGrid w:val="0"/>
              <w:spacing w:beforeLines="34" w:beforeAutospacing="0" w:afterLines="34" w:afterAutospacing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检测下限</w:t>
            </w:r>
          </w:p>
        </w:tc>
        <w:tc>
          <w:tcPr>
            <w:tcW w:w="3686" w:type="dxa"/>
            <w:shd w:val="solid" w:color="DDECEE" w:themeColor="accent5" w:themeTint="33" w:fill="auto"/>
            <w:vAlign w:val="center"/>
          </w:tcPr>
          <w:p w:rsidR="008B24C6" w:rsidRPr="00BB05B0" w:rsidRDefault="003B43B6" w:rsidP="00653FE4">
            <w:pPr>
              <w:pStyle w:val="a6"/>
              <w:kinsoku w:val="0"/>
              <w:overflowPunct w:val="0"/>
              <w:adjustRightInd w:val="0"/>
              <w:snapToGrid w:val="0"/>
              <w:spacing w:beforeLines="34" w:beforeAutospacing="0" w:afterLines="34" w:afterAutospacing="0"/>
              <w:jc w:val="both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sz w:val="18"/>
                <w:szCs w:val="18"/>
              </w:rPr>
              <w:t>TVOC</w:t>
            </w:r>
            <w:r w:rsidR="00651E04" w:rsidRPr="00BB05B0">
              <w:rPr>
                <w:rFonts w:ascii="微软雅黑" w:eastAsia="微软雅黑" w:hAnsi="微软雅黑" w:hint="eastAsia"/>
                <w:sz w:val="18"/>
                <w:szCs w:val="18"/>
              </w:rPr>
              <w:t xml:space="preserve"> ：1ppm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漂移/重复性</w:t>
            </w:r>
          </w:p>
        </w:tc>
        <w:tc>
          <w:tcPr>
            <w:tcW w:w="3686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±1%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DDECEE" w:themeColor="accent5" w:themeTint="33" w:fill="auto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尺</w:t>
            </w:r>
            <w:r w:rsid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   </w:t>
            </w: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寸</w:t>
            </w:r>
          </w:p>
        </w:tc>
        <w:tc>
          <w:tcPr>
            <w:tcW w:w="3686" w:type="dxa"/>
            <w:shd w:val="solid" w:color="DDECEE" w:themeColor="accent5" w:themeTint="33" w:fill="auto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5</w:t>
            </w: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00mm×</w:t>
            </w:r>
            <w:r w:rsidRP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24</w:t>
            </w: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0mm×800mm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伴</w:t>
            </w:r>
            <w:r w:rsidRP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热</w:t>
            </w: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温度</w:t>
            </w:r>
          </w:p>
        </w:tc>
        <w:tc>
          <w:tcPr>
            <w:tcW w:w="3686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120℃～180℃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防</w:t>
            </w:r>
            <w:r w:rsidRP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护</w:t>
            </w: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等</w:t>
            </w:r>
            <w:r w:rsidRP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3686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机柜IP42，其他IP65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供</w:t>
            </w:r>
            <w:r w:rsid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   </w:t>
            </w:r>
            <w:r w:rsidRP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电</w:t>
            </w:r>
          </w:p>
        </w:tc>
        <w:tc>
          <w:tcPr>
            <w:tcW w:w="3686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BB05B0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220V</w:t>
            </w:r>
            <w:r w:rsidR="00651E04"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，</w:t>
            </w:r>
            <w:r w:rsidR="003D5FBC">
              <w:rPr>
                <w:rFonts w:ascii="微软雅黑" w:eastAsia="微软雅黑" w:hAnsi="微软雅黑"/>
                <w:kern w:val="0"/>
                <w:sz w:val="18"/>
                <w:szCs w:val="18"/>
              </w:rPr>
              <w:t>50</w:t>
            </w:r>
            <w:r w:rsidR="003D5FBC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Hz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3686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-10</w:t>
            </w:r>
            <w:r w:rsidRP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℃</w:t>
            </w: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～+40℃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3686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0～95%RH（不</w:t>
            </w:r>
            <w:r w:rsidRPr="00BB05B0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结</w:t>
            </w: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露）</w:t>
            </w:r>
          </w:p>
        </w:tc>
      </w:tr>
      <w:tr w:rsidR="008B24C6" w:rsidTr="00BB05B0">
        <w:trPr>
          <w:trHeight w:val="20"/>
        </w:trPr>
        <w:tc>
          <w:tcPr>
            <w:tcW w:w="1242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通讯接口</w:t>
            </w:r>
          </w:p>
        </w:tc>
        <w:tc>
          <w:tcPr>
            <w:tcW w:w="3686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满足政府机关联网要求（串口、以太网口、模拟量接口等）</w:t>
            </w:r>
          </w:p>
        </w:tc>
      </w:tr>
      <w:tr w:rsidR="008B24C6" w:rsidTr="00BB05B0">
        <w:trPr>
          <w:trHeight w:val="701"/>
        </w:trPr>
        <w:tc>
          <w:tcPr>
            <w:tcW w:w="1242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通讯协议</w:t>
            </w:r>
          </w:p>
        </w:tc>
        <w:tc>
          <w:tcPr>
            <w:tcW w:w="3686" w:type="dxa"/>
            <w:shd w:val="solid" w:color="9BC7CE" w:themeColor="accent5" w:themeTint="99" w:fill="BCD9DE" w:themeFill="accent5" w:themeFillTint="66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满足政府机关通讯协议要求（Modbus、TCP/IP、4-20mA等）</w:t>
            </w:r>
          </w:p>
        </w:tc>
      </w:tr>
      <w:tr w:rsidR="008B24C6" w:rsidTr="00BB05B0">
        <w:trPr>
          <w:trHeight w:val="285"/>
        </w:trPr>
        <w:tc>
          <w:tcPr>
            <w:tcW w:w="1242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远程控制</w:t>
            </w:r>
          </w:p>
        </w:tc>
        <w:tc>
          <w:tcPr>
            <w:tcW w:w="3686" w:type="dxa"/>
            <w:shd w:val="solid" w:color="DDECEE" w:themeColor="accent5" w:themeTint="33" w:fill="auto"/>
            <w:vAlign w:val="center"/>
          </w:tcPr>
          <w:p w:rsidR="008B24C6" w:rsidRPr="00BB05B0" w:rsidRDefault="00651E04" w:rsidP="00653FE4">
            <w:pPr>
              <w:widowControl/>
              <w:adjustRightInd w:val="0"/>
              <w:snapToGrid w:val="0"/>
              <w:spacing w:beforeLines="34" w:afterLines="34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BB05B0">
              <w:rPr>
                <w:rFonts w:ascii="微软雅黑" w:eastAsia="微软雅黑" w:hAnsi="微软雅黑"/>
                <w:kern w:val="0"/>
                <w:sz w:val="18"/>
                <w:szCs w:val="18"/>
              </w:rPr>
              <w:t>具备远程网络诊断功能。</w:t>
            </w:r>
          </w:p>
        </w:tc>
      </w:tr>
    </w:tbl>
    <w:p w:rsidR="008B24C6" w:rsidRDefault="00651E04">
      <w:pPr>
        <w:widowControl/>
        <w:spacing w:line="1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24C6" w:rsidRPr="00BB05B0" w:rsidRDefault="00BB05B0" w:rsidP="00BB05B0">
      <w:pPr>
        <w:pStyle w:val="a8"/>
        <w:widowControl/>
        <w:numPr>
          <w:ilvl w:val="0"/>
          <w:numId w:val="1"/>
        </w:numPr>
        <w:spacing w:line="384" w:lineRule="auto"/>
        <w:ind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 xml:space="preserve">  </w:t>
      </w:r>
      <w:r w:rsidR="00651E04"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预处理单元稳定可靠，集成多种先进技术，包括：进口隔膜</w:t>
      </w:r>
    </w:p>
    <w:p w:rsidR="008B24C6" w:rsidRPr="00BB05B0" w:rsidRDefault="00651E04">
      <w:pPr>
        <w:widowControl/>
        <w:spacing w:line="384" w:lineRule="auto"/>
        <w:ind w:firstLineChars="250" w:firstLine="45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泵技术，气路堵塞自动检测及保护技术、热电制冷除湿技术</w:t>
      </w:r>
    </w:p>
    <w:p w:rsidR="008B24C6" w:rsidRPr="00BB05B0" w:rsidRDefault="00BB05B0" w:rsidP="00BB05B0">
      <w:pPr>
        <w:pStyle w:val="a8"/>
        <w:widowControl/>
        <w:numPr>
          <w:ilvl w:val="0"/>
          <w:numId w:val="1"/>
        </w:numPr>
        <w:spacing w:line="384" w:lineRule="auto"/>
        <w:ind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 xml:space="preserve">  </w:t>
      </w:r>
      <w:r w:rsidR="00651E04"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系统防爆设计、体积小、安装简单、成本低</w:t>
      </w:r>
    </w:p>
    <w:p w:rsidR="008B24C6" w:rsidRPr="00BB05B0" w:rsidRDefault="00BB05B0" w:rsidP="00BB05B0">
      <w:pPr>
        <w:pStyle w:val="a8"/>
        <w:widowControl/>
        <w:numPr>
          <w:ilvl w:val="0"/>
          <w:numId w:val="1"/>
        </w:numPr>
        <w:spacing w:line="384" w:lineRule="auto"/>
        <w:ind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 xml:space="preserve">  </w:t>
      </w:r>
      <w:r w:rsidR="00651E04"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>系统采用中文显示界面，维护简便</w:t>
      </w:r>
      <w:bookmarkStart w:id="0" w:name="_GoBack"/>
      <w:bookmarkEnd w:id="0"/>
    </w:p>
    <w:p w:rsidR="008B24C6" w:rsidRPr="00BB05B0" w:rsidRDefault="00BB05B0" w:rsidP="00BB05B0">
      <w:pPr>
        <w:pStyle w:val="a8"/>
        <w:widowControl/>
        <w:numPr>
          <w:ilvl w:val="0"/>
          <w:numId w:val="1"/>
        </w:numPr>
        <w:spacing w:line="384" w:lineRule="auto"/>
        <w:ind w:firstLineChars="0"/>
        <w:rPr>
          <w:rFonts w:ascii="微软雅黑" w:eastAsia="微软雅黑" w:hAnsi="微软雅黑"/>
          <w:color w:val="000000"/>
          <w:kern w:val="0"/>
          <w:sz w:val="18"/>
          <w:szCs w:val="18"/>
        </w:rPr>
      </w:pPr>
      <w:r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 xml:space="preserve">  </w:t>
      </w:r>
      <w:r w:rsidR="00651E04" w:rsidRPr="00BB05B0">
        <w:rPr>
          <w:rFonts w:ascii="微软雅黑" w:eastAsia="微软雅黑" w:hAnsi="微软雅黑" w:hint="eastAsia"/>
          <w:color w:val="000000"/>
          <w:kern w:val="0"/>
          <w:sz w:val="18"/>
          <w:szCs w:val="18"/>
        </w:rPr>
        <w:t xml:space="preserve"> 采用光离子检测技术，响应时间快，检测灵敏度高</w:t>
      </w:r>
    </w:p>
    <w:p w:rsidR="008B24C6" w:rsidRDefault="008B24C6">
      <w:pPr>
        <w:widowControl/>
        <w:jc w:val="left"/>
        <w:rPr>
          <w:rFonts w:hAnsi="宋体"/>
          <w:color w:val="000000"/>
          <w:sz w:val="18"/>
          <w:szCs w:val="18"/>
        </w:rPr>
      </w:pPr>
    </w:p>
    <w:p w:rsidR="008B24C6" w:rsidRPr="00BB05B0" w:rsidRDefault="00651E04" w:rsidP="00653FE4">
      <w:pPr>
        <w:widowControl/>
        <w:spacing w:afterLines="100"/>
        <w:ind w:firstLineChars="100" w:firstLine="280"/>
        <w:jc w:val="left"/>
        <w:rPr>
          <w:rFonts w:ascii="微软雅黑" w:eastAsia="微软雅黑" w:hAnsi="微软雅黑"/>
          <w:b/>
          <w:color w:val="4A66AC" w:themeColor="accent1"/>
          <w:kern w:val="0"/>
          <w:sz w:val="28"/>
          <w:szCs w:val="28"/>
        </w:rPr>
      </w:pPr>
      <w:r w:rsidRPr="00BB05B0">
        <w:rPr>
          <w:rFonts w:ascii="微软雅黑" w:eastAsia="微软雅黑" w:hAnsi="微软雅黑" w:hint="eastAsia"/>
          <w:b/>
          <w:color w:val="4A66AC" w:themeColor="accent1"/>
          <w:kern w:val="0"/>
          <w:sz w:val="28"/>
          <w:szCs w:val="28"/>
        </w:rPr>
        <w:t>应用领域</w:t>
      </w:r>
    </w:p>
    <w:p w:rsidR="008B24C6" w:rsidRPr="00BB05B0" w:rsidRDefault="00BB05B0" w:rsidP="00F63835">
      <w:pPr>
        <w:pStyle w:val="a6"/>
        <w:widowControl/>
        <w:adjustRightInd w:val="0"/>
        <w:snapToGrid w:val="0"/>
        <w:spacing w:before="0" w:beforeAutospacing="0" w:afterLines="100" w:afterAutospacing="0" w:line="360" w:lineRule="auto"/>
        <w:ind w:firstLineChars="397" w:firstLine="715"/>
        <w:jc w:val="both"/>
        <w:rPr>
          <w:rFonts w:ascii="微软雅黑" w:eastAsia="微软雅黑" w:hAnsi="微软雅黑"/>
          <w:color w:val="000000"/>
          <w:sz w:val="18"/>
          <w:szCs w:val="18"/>
        </w:rPr>
      </w:pPr>
      <w:r w:rsidRPr="00BB05B0"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1663700</wp:posOffset>
            </wp:positionV>
            <wp:extent cx="3257550" cy="1455420"/>
            <wp:effectExtent l="19050" t="0" r="0" b="0"/>
            <wp:wrapTight wrapText="bothSides">
              <wp:wrapPolygon edited="0">
                <wp:start x="-126" y="0"/>
                <wp:lineTo x="-126" y="21204"/>
                <wp:lineTo x="21600" y="21204"/>
                <wp:lineTo x="21600" y="0"/>
                <wp:lineTo x="-126" y="0"/>
              </wp:wrapPolygon>
            </wp:wrapTight>
            <wp:docPr id="2" name="图片 2" descr="http://img63.ybzhan.cn/9/20140815/63543693961581709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img63.ybzhan.cn/9/20140815/635436939615817091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E04" w:rsidRPr="00BB05B0">
        <w:rPr>
          <w:rFonts w:ascii="微软雅黑" w:eastAsia="微软雅黑" w:hAnsi="微软雅黑"/>
          <w:color w:val="000000"/>
          <w:sz w:val="18"/>
          <w:szCs w:val="18"/>
        </w:rPr>
        <w:t>M-</w:t>
      </w:r>
      <w:r w:rsidRPr="00BB05B0">
        <w:rPr>
          <w:rFonts w:ascii="微软雅黑" w:eastAsia="微软雅黑" w:hAnsi="微软雅黑" w:hint="eastAsia"/>
          <w:color w:val="000000"/>
          <w:sz w:val="18"/>
          <w:szCs w:val="18"/>
        </w:rPr>
        <w:t>2060</w:t>
      </w:r>
      <w:r w:rsidR="00651E04" w:rsidRPr="00BB05B0">
        <w:rPr>
          <w:rFonts w:ascii="微软雅黑" w:eastAsia="微软雅黑" w:hAnsi="微软雅黑"/>
          <w:color w:val="000000"/>
          <w:sz w:val="18"/>
          <w:szCs w:val="18"/>
        </w:rPr>
        <w:t>型</w:t>
      </w:r>
      <w:r w:rsidR="00651E04" w:rsidRPr="00BB05B0">
        <w:rPr>
          <w:rFonts w:ascii="微软雅黑" w:eastAsia="微软雅黑" w:hAnsi="微软雅黑" w:hint="eastAsia"/>
          <w:color w:val="000000"/>
          <w:sz w:val="18"/>
          <w:szCs w:val="18"/>
        </w:rPr>
        <w:t>TVOC在线</w:t>
      </w:r>
      <w:r w:rsidR="00651E04" w:rsidRPr="00BB05B0">
        <w:rPr>
          <w:rFonts w:ascii="微软雅黑" w:eastAsia="微软雅黑" w:hAnsi="微软雅黑"/>
          <w:color w:val="000000"/>
          <w:sz w:val="18"/>
          <w:szCs w:val="18"/>
        </w:rPr>
        <w:t>连续监测系统（</w:t>
      </w:r>
      <w:r w:rsidR="00651E04" w:rsidRPr="00BB05B0">
        <w:rPr>
          <w:rFonts w:ascii="微软雅黑" w:eastAsia="微软雅黑" w:hAnsi="微软雅黑" w:hint="eastAsia"/>
          <w:color w:val="000000"/>
          <w:sz w:val="18"/>
          <w:szCs w:val="18"/>
        </w:rPr>
        <w:t>PID</w:t>
      </w:r>
      <w:r w:rsidR="00651E04" w:rsidRPr="00BB05B0">
        <w:rPr>
          <w:rFonts w:ascii="微软雅黑" w:eastAsia="微软雅黑" w:hAnsi="微软雅黑"/>
          <w:color w:val="000000"/>
          <w:sz w:val="18"/>
          <w:szCs w:val="18"/>
        </w:rPr>
        <w:t>）广泛应用于各种固定污染源有机物排放的实时监测，</w:t>
      </w:r>
      <w:r w:rsidR="00651E04" w:rsidRPr="00BB05B0">
        <w:rPr>
          <w:rFonts w:ascii="微软雅黑" w:eastAsia="微软雅黑" w:hAnsi="微软雅黑" w:hint="eastAsia"/>
          <w:color w:val="000000"/>
          <w:sz w:val="18"/>
          <w:szCs w:val="18"/>
        </w:rPr>
        <w:t>其中包括：</w:t>
      </w:r>
      <w:r w:rsidR="00651E04" w:rsidRPr="00BB05B0">
        <w:rPr>
          <w:rFonts w:ascii="微软雅黑" w:eastAsia="微软雅黑" w:hAnsi="微软雅黑"/>
          <w:color w:val="000000"/>
          <w:sz w:val="18"/>
          <w:szCs w:val="18"/>
        </w:rPr>
        <w:t>涂装行业、印染行业、印刷行业、炼油企业、制药企业、化工企业、汽车企业、半导体企业、制革企业、铸造企业以及油品的存储、运输和加油站等各个领域。</w:t>
      </w:r>
    </w:p>
    <w:sectPr w:rsidR="008B24C6" w:rsidRPr="00BB05B0" w:rsidSect="008B24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E5" w:rsidRDefault="005E2DE5" w:rsidP="00BB05B0">
      <w:r>
        <w:separator/>
      </w:r>
    </w:p>
  </w:endnote>
  <w:endnote w:type="continuationSeparator" w:id="1">
    <w:p w:rsidR="005E2DE5" w:rsidRDefault="005E2DE5" w:rsidP="00BB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E5" w:rsidRDefault="005E2DE5" w:rsidP="00BB05B0">
      <w:r>
        <w:separator/>
      </w:r>
    </w:p>
  </w:footnote>
  <w:footnote w:type="continuationSeparator" w:id="1">
    <w:p w:rsidR="005E2DE5" w:rsidRDefault="005E2DE5" w:rsidP="00BB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625"/>
    <w:multiLevelType w:val="hybridMultilevel"/>
    <w:tmpl w:val="2EE436E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AE"/>
    <w:rsid w:val="0004397A"/>
    <w:rsid w:val="00045776"/>
    <w:rsid w:val="00052555"/>
    <w:rsid w:val="000533EB"/>
    <w:rsid w:val="00070413"/>
    <w:rsid w:val="000805C0"/>
    <w:rsid w:val="00093A48"/>
    <w:rsid w:val="000B04AE"/>
    <w:rsid w:val="000B2039"/>
    <w:rsid w:val="000B2AA7"/>
    <w:rsid w:val="000B4243"/>
    <w:rsid w:val="00121BFD"/>
    <w:rsid w:val="00152975"/>
    <w:rsid w:val="00180DA0"/>
    <w:rsid w:val="001972D1"/>
    <w:rsid w:val="001A2B4E"/>
    <w:rsid w:val="001F1ED6"/>
    <w:rsid w:val="0025486A"/>
    <w:rsid w:val="002627F3"/>
    <w:rsid w:val="00295900"/>
    <w:rsid w:val="002A2E82"/>
    <w:rsid w:val="002B2FF8"/>
    <w:rsid w:val="002C5A67"/>
    <w:rsid w:val="002D7512"/>
    <w:rsid w:val="002D78D5"/>
    <w:rsid w:val="002F09DC"/>
    <w:rsid w:val="00300860"/>
    <w:rsid w:val="003121B7"/>
    <w:rsid w:val="00317DBD"/>
    <w:rsid w:val="00326315"/>
    <w:rsid w:val="00334DE2"/>
    <w:rsid w:val="00344C17"/>
    <w:rsid w:val="00375EB3"/>
    <w:rsid w:val="003A6366"/>
    <w:rsid w:val="003B43B6"/>
    <w:rsid w:val="003D0FE5"/>
    <w:rsid w:val="003D4797"/>
    <w:rsid w:val="003D5FBC"/>
    <w:rsid w:val="003E203A"/>
    <w:rsid w:val="003E2D7F"/>
    <w:rsid w:val="003E52E9"/>
    <w:rsid w:val="003F2666"/>
    <w:rsid w:val="004000B7"/>
    <w:rsid w:val="004050A5"/>
    <w:rsid w:val="00411A98"/>
    <w:rsid w:val="004303AC"/>
    <w:rsid w:val="0045736C"/>
    <w:rsid w:val="004638DD"/>
    <w:rsid w:val="00473351"/>
    <w:rsid w:val="004978DE"/>
    <w:rsid w:val="004C6064"/>
    <w:rsid w:val="004C7E50"/>
    <w:rsid w:val="004D4133"/>
    <w:rsid w:val="004E4DB5"/>
    <w:rsid w:val="00502877"/>
    <w:rsid w:val="00504539"/>
    <w:rsid w:val="005063FB"/>
    <w:rsid w:val="00510897"/>
    <w:rsid w:val="00544476"/>
    <w:rsid w:val="005603D8"/>
    <w:rsid w:val="00576348"/>
    <w:rsid w:val="005861B2"/>
    <w:rsid w:val="00590534"/>
    <w:rsid w:val="00595427"/>
    <w:rsid w:val="005B3DCB"/>
    <w:rsid w:val="005E2DE5"/>
    <w:rsid w:val="0060632A"/>
    <w:rsid w:val="0061320C"/>
    <w:rsid w:val="00623CF1"/>
    <w:rsid w:val="006300F1"/>
    <w:rsid w:val="00630601"/>
    <w:rsid w:val="00651E04"/>
    <w:rsid w:val="00653FE4"/>
    <w:rsid w:val="00663AC9"/>
    <w:rsid w:val="006A7186"/>
    <w:rsid w:val="006B221C"/>
    <w:rsid w:val="006C0430"/>
    <w:rsid w:val="006D1052"/>
    <w:rsid w:val="006D6582"/>
    <w:rsid w:val="006F31C7"/>
    <w:rsid w:val="007029FB"/>
    <w:rsid w:val="00707830"/>
    <w:rsid w:val="00716A69"/>
    <w:rsid w:val="00717C18"/>
    <w:rsid w:val="007279CF"/>
    <w:rsid w:val="00756F69"/>
    <w:rsid w:val="007812AA"/>
    <w:rsid w:val="0078505E"/>
    <w:rsid w:val="007C103A"/>
    <w:rsid w:val="007C1BEB"/>
    <w:rsid w:val="007D620F"/>
    <w:rsid w:val="007F57CF"/>
    <w:rsid w:val="008102BF"/>
    <w:rsid w:val="00833990"/>
    <w:rsid w:val="00841E73"/>
    <w:rsid w:val="0085735C"/>
    <w:rsid w:val="00866475"/>
    <w:rsid w:val="00875251"/>
    <w:rsid w:val="00884B49"/>
    <w:rsid w:val="008A0572"/>
    <w:rsid w:val="008A09AE"/>
    <w:rsid w:val="008A4BCF"/>
    <w:rsid w:val="008B24C6"/>
    <w:rsid w:val="008D3E29"/>
    <w:rsid w:val="00904AC3"/>
    <w:rsid w:val="00930DD6"/>
    <w:rsid w:val="009334E9"/>
    <w:rsid w:val="009368DB"/>
    <w:rsid w:val="00963732"/>
    <w:rsid w:val="009B2118"/>
    <w:rsid w:val="009C2BAD"/>
    <w:rsid w:val="009C5B1B"/>
    <w:rsid w:val="009E395A"/>
    <w:rsid w:val="00A04B99"/>
    <w:rsid w:val="00A11A9F"/>
    <w:rsid w:val="00A144E4"/>
    <w:rsid w:val="00A3096F"/>
    <w:rsid w:val="00A41DCB"/>
    <w:rsid w:val="00A4373D"/>
    <w:rsid w:val="00A75D21"/>
    <w:rsid w:val="00A7670B"/>
    <w:rsid w:val="00A77095"/>
    <w:rsid w:val="00A83818"/>
    <w:rsid w:val="00A9676A"/>
    <w:rsid w:val="00AB31CA"/>
    <w:rsid w:val="00AB77B0"/>
    <w:rsid w:val="00AD404B"/>
    <w:rsid w:val="00AD7EFC"/>
    <w:rsid w:val="00AE6DF7"/>
    <w:rsid w:val="00B10BE1"/>
    <w:rsid w:val="00B20E49"/>
    <w:rsid w:val="00B65D86"/>
    <w:rsid w:val="00B6706E"/>
    <w:rsid w:val="00B751BD"/>
    <w:rsid w:val="00B87E79"/>
    <w:rsid w:val="00BA3DC6"/>
    <w:rsid w:val="00BB05B0"/>
    <w:rsid w:val="00BB6D05"/>
    <w:rsid w:val="00BC04BA"/>
    <w:rsid w:val="00BD304E"/>
    <w:rsid w:val="00BE2784"/>
    <w:rsid w:val="00BE2D80"/>
    <w:rsid w:val="00BE4607"/>
    <w:rsid w:val="00C13257"/>
    <w:rsid w:val="00C175AE"/>
    <w:rsid w:val="00C20C2A"/>
    <w:rsid w:val="00C34020"/>
    <w:rsid w:val="00C354C9"/>
    <w:rsid w:val="00C417E2"/>
    <w:rsid w:val="00C56EF3"/>
    <w:rsid w:val="00C8541E"/>
    <w:rsid w:val="00CA2795"/>
    <w:rsid w:val="00CD52F7"/>
    <w:rsid w:val="00CD6744"/>
    <w:rsid w:val="00CE16A9"/>
    <w:rsid w:val="00D01727"/>
    <w:rsid w:val="00D303B3"/>
    <w:rsid w:val="00D32DB9"/>
    <w:rsid w:val="00D76140"/>
    <w:rsid w:val="00DB2EEA"/>
    <w:rsid w:val="00DC774F"/>
    <w:rsid w:val="00E44DDD"/>
    <w:rsid w:val="00E92AB0"/>
    <w:rsid w:val="00EC7614"/>
    <w:rsid w:val="00ED23ED"/>
    <w:rsid w:val="00EF4D77"/>
    <w:rsid w:val="00F06440"/>
    <w:rsid w:val="00F11D1A"/>
    <w:rsid w:val="00F25EE8"/>
    <w:rsid w:val="00F34E5E"/>
    <w:rsid w:val="00F36C4E"/>
    <w:rsid w:val="00F53408"/>
    <w:rsid w:val="00F57722"/>
    <w:rsid w:val="00F62C06"/>
    <w:rsid w:val="00F63835"/>
    <w:rsid w:val="00FB3EBB"/>
    <w:rsid w:val="00FD0475"/>
    <w:rsid w:val="0924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unhideWhenUsed/>
    <w:rsid w:val="008B24C6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rsid w:val="008B24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8B24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4C6"/>
    <w:rPr>
      <w:sz w:val="18"/>
      <w:szCs w:val="18"/>
    </w:rPr>
  </w:style>
  <w:style w:type="character" w:customStyle="1" w:styleId="Char2">
    <w:name w:val="普通(网站) Char"/>
    <w:basedOn w:val="a0"/>
    <w:link w:val="a6"/>
    <w:uiPriority w:val="99"/>
    <w:rsid w:val="008B24C6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8B24C6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BB05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52FDF-5636-46D1-82E1-9587F577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张守瑞</cp:lastModifiedBy>
  <cp:revision>61</cp:revision>
  <cp:lastPrinted>2018-12-06T10:08:00Z</cp:lastPrinted>
  <dcterms:created xsi:type="dcterms:W3CDTF">2018-12-06T05:17:00Z</dcterms:created>
  <dcterms:modified xsi:type="dcterms:W3CDTF">2018-12-28T04:41:00Z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