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CB" w:rsidRDefault="004B36CB" w:rsidP="004B36CB">
      <w:pPr>
        <w:tabs>
          <w:tab w:val="left" w:pos="7200"/>
          <w:tab w:val="left" w:pos="7380"/>
          <w:tab w:val="left" w:pos="7560"/>
        </w:tabs>
        <w:spacing w:line="600" w:lineRule="exact"/>
        <w:rPr>
          <w:rFonts w:ascii="黑体" w:eastAsia="黑体" w:hAnsi="黑体" w:hint="eastAsia"/>
          <w:sz w:val="32"/>
          <w:szCs w:val="32"/>
        </w:rPr>
      </w:pPr>
      <w:bookmarkStart w:id="0" w:name="_Toc409439876"/>
      <w:bookmarkStart w:id="1" w:name="_Toc409439927"/>
      <w:bookmarkStart w:id="2" w:name="_Toc409439951"/>
      <w:r w:rsidRPr="000A2825">
        <w:rPr>
          <w:rFonts w:ascii="黑体" w:eastAsia="黑体" w:hAnsi="黑体"/>
          <w:sz w:val="32"/>
          <w:szCs w:val="32"/>
        </w:rPr>
        <w:t>附件1</w:t>
      </w:r>
    </w:p>
    <w:p w:rsidR="004B36CB" w:rsidRPr="000A2825" w:rsidRDefault="004B36CB" w:rsidP="004B36CB">
      <w:pPr>
        <w:tabs>
          <w:tab w:val="left" w:pos="7200"/>
          <w:tab w:val="left" w:pos="7380"/>
          <w:tab w:val="left" w:pos="7560"/>
        </w:tabs>
        <w:spacing w:line="520" w:lineRule="exact"/>
        <w:jc w:val="center"/>
        <w:rPr>
          <w:rFonts w:ascii="黑体" w:eastAsia="黑体" w:hAnsi="黑体"/>
          <w:sz w:val="32"/>
          <w:szCs w:val="32"/>
        </w:rPr>
      </w:pPr>
    </w:p>
    <w:p w:rsidR="004B36CB" w:rsidRPr="002F6F3A" w:rsidRDefault="004B36CB" w:rsidP="004B36CB">
      <w:pPr>
        <w:spacing w:line="520" w:lineRule="exact"/>
        <w:jc w:val="center"/>
        <w:rPr>
          <w:rFonts w:eastAsia="方正小标宋简体"/>
          <w:sz w:val="44"/>
          <w:szCs w:val="44"/>
        </w:rPr>
      </w:pPr>
      <w:r w:rsidRPr="002F6F3A">
        <w:rPr>
          <w:rFonts w:eastAsia="方正小标宋简体"/>
          <w:sz w:val="44"/>
          <w:szCs w:val="44"/>
        </w:rPr>
        <w:t>预防用疫苗临床可比性研究技术指导原则</w:t>
      </w:r>
    </w:p>
    <w:p w:rsidR="004B36CB" w:rsidRPr="002F6F3A" w:rsidRDefault="004B36CB" w:rsidP="004B36CB">
      <w:pPr>
        <w:spacing w:line="520" w:lineRule="exact"/>
        <w:jc w:val="center"/>
      </w:pPr>
      <w:bookmarkStart w:id="3" w:name="_Toc429319309"/>
    </w:p>
    <w:p w:rsidR="004B36CB" w:rsidRPr="000A2825" w:rsidRDefault="004B36CB" w:rsidP="004B36CB">
      <w:pPr>
        <w:spacing w:line="580" w:lineRule="exact"/>
        <w:ind w:firstLineChars="200" w:firstLine="640"/>
        <w:rPr>
          <w:rFonts w:eastAsia="黑体"/>
          <w:color w:val="000000"/>
          <w:sz w:val="32"/>
          <w:szCs w:val="32"/>
          <w:u w:color="000000"/>
        </w:rPr>
      </w:pPr>
      <w:r w:rsidRPr="000A2825">
        <w:rPr>
          <w:rFonts w:eastAsia="黑体"/>
          <w:color w:val="000000"/>
          <w:sz w:val="32"/>
          <w:szCs w:val="32"/>
          <w:u w:color="000000"/>
        </w:rPr>
        <w:t>一、前言</w:t>
      </w:r>
      <w:bookmarkEnd w:id="0"/>
      <w:bookmarkEnd w:id="1"/>
      <w:bookmarkEnd w:id="2"/>
      <w:bookmarkEnd w:id="3"/>
    </w:p>
    <w:p w:rsidR="004B36CB" w:rsidRPr="000A2825" w:rsidRDefault="004B36CB" w:rsidP="004B36CB">
      <w:pPr>
        <w:spacing w:line="600" w:lineRule="exact"/>
        <w:ind w:firstLineChars="200" w:firstLine="640"/>
        <w:rPr>
          <w:rFonts w:eastAsia="仿宋_GB2312"/>
          <w:sz w:val="32"/>
          <w:szCs w:val="32"/>
        </w:rPr>
      </w:pPr>
      <w:r w:rsidRPr="000A2825">
        <w:rPr>
          <w:rFonts w:eastAsia="仿宋_GB2312"/>
          <w:sz w:val="32"/>
          <w:szCs w:val="32"/>
        </w:rPr>
        <w:t>为进一步规范预防用疫苗（以下简称疫苗）临床试验和提高临床研发水平，保证同类疫苗注册上市时具有相似的安全有效性，</w:t>
      </w:r>
      <w:proofErr w:type="gramStart"/>
      <w:r w:rsidRPr="000A2825">
        <w:rPr>
          <w:rFonts w:eastAsia="仿宋_GB2312"/>
          <w:sz w:val="32"/>
          <w:szCs w:val="32"/>
        </w:rPr>
        <w:t>指导非</w:t>
      </w:r>
      <w:proofErr w:type="gramEnd"/>
      <w:r w:rsidRPr="000A2825">
        <w:rPr>
          <w:rFonts w:eastAsia="仿宋_GB2312"/>
          <w:sz w:val="32"/>
          <w:szCs w:val="32"/>
        </w:rPr>
        <w:t>创新性疫苗的临床研发和评价，特制定本指导原则。</w:t>
      </w:r>
    </w:p>
    <w:p w:rsidR="004B36CB" w:rsidRPr="000A2825" w:rsidRDefault="004B36CB" w:rsidP="004B36CB">
      <w:pPr>
        <w:spacing w:line="600" w:lineRule="exact"/>
        <w:ind w:firstLineChars="200" w:firstLine="640"/>
        <w:rPr>
          <w:rFonts w:eastAsia="仿宋_GB2312"/>
          <w:sz w:val="32"/>
          <w:szCs w:val="32"/>
        </w:rPr>
      </w:pPr>
      <w:r w:rsidRPr="000A2825">
        <w:rPr>
          <w:rFonts w:eastAsia="仿宋_GB2312"/>
          <w:sz w:val="32"/>
          <w:szCs w:val="32"/>
        </w:rPr>
        <w:t>本指导原则所述非创新性疫苗是指已有同类疫苗在中国境内上市，其在质量、安全性和有效性方面与已上市同类疫苗具有可比性的疫苗。本指导原则适用于采用免疫原性替代终点进行有效性评价的非创新性疫苗。</w:t>
      </w:r>
      <w:r w:rsidRPr="000A2825" w:rsidDel="009D7421">
        <w:rPr>
          <w:rFonts w:eastAsia="仿宋_GB2312"/>
          <w:sz w:val="32"/>
          <w:szCs w:val="32"/>
        </w:rPr>
        <w:t>对涉及处方和生产工艺等变更的疫苗，如需要通过临床</w:t>
      </w:r>
      <w:r w:rsidRPr="000A2825">
        <w:rPr>
          <w:rFonts w:eastAsia="仿宋_GB2312"/>
          <w:sz w:val="32"/>
          <w:szCs w:val="32"/>
        </w:rPr>
        <w:t>可比性</w:t>
      </w:r>
      <w:r w:rsidRPr="000A2825" w:rsidDel="009D7421">
        <w:rPr>
          <w:rFonts w:eastAsia="仿宋_GB2312"/>
          <w:sz w:val="32"/>
          <w:szCs w:val="32"/>
        </w:rPr>
        <w:t>研究进一步评价其变更可行性的，也可参考本指导原则。</w:t>
      </w:r>
    </w:p>
    <w:p w:rsidR="004B36CB" w:rsidRPr="000A2825" w:rsidRDefault="004B36CB" w:rsidP="004B36CB">
      <w:pPr>
        <w:spacing w:line="600" w:lineRule="exact"/>
        <w:ind w:firstLineChars="200" w:firstLine="640"/>
        <w:rPr>
          <w:rFonts w:eastAsia="仿宋_GB2312"/>
          <w:sz w:val="32"/>
          <w:szCs w:val="32"/>
        </w:rPr>
      </w:pPr>
      <w:r w:rsidRPr="000A2825">
        <w:rPr>
          <w:rFonts w:eastAsia="仿宋_GB2312"/>
          <w:bCs/>
          <w:color w:val="000000"/>
          <w:kern w:val="0"/>
          <w:sz w:val="32"/>
          <w:szCs w:val="32"/>
        </w:rPr>
        <w:t>疫苗临床试验应严格遵守《中华人民共和国药品管理法》《中华人民共和国疫苗管理法》，执行《药品注册管理办法》的相关规定，</w:t>
      </w:r>
      <w:r w:rsidRPr="000A2825">
        <w:rPr>
          <w:rFonts w:eastAsia="仿宋_GB2312"/>
          <w:sz w:val="32"/>
          <w:szCs w:val="32"/>
        </w:rPr>
        <w:t>按照《药物临床试验质量管理规范》（</w:t>
      </w:r>
      <w:r w:rsidRPr="000A2825">
        <w:rPr>
          <w:rFonts w:eastAsia="仿宋_GB2312"/>
          <w:sz w:val="32"/>
          <w:szCs w:val="32"/>
        </w:rPr>
        <w:t>GCP</w:t>
      </w:r>
      <w:r w:rsidRPr="000A2825">
        <w:rPr>
          <w:rFonts w:eastAsia="仿宋_GB2312"/>
          <w:sz w:val="32"/>
          <w:szCs w:val="32"/>
        </w:rPr>
        <w:t>）、《疫苗临床试验质量管理指导原则》、</w:t>
      </w:r>
      <w:r w:rsidRPr="000A2825">
        <w:rPr>
          <w:rFonts w:eastAsia="仿宋_GB2312"/>
          <w:bCs/>
          <w:sz w:val="32"/>
          <w:szCs w:val="32"/>
        </w:rPr>
        <w:t>《疫苗临床试验技术指导原则》、</w:t>
      </w:r>
      <w:r w:rsidRPr="000A2825">
        <w:rPr>
          <w:rFonts w:eastAsia="仿宋_GB2312"/>
          <w:sz w:val="32"/>
          <w:szCs w:val="32"/>
        </w:rPr>
        <w:t>《</w:t>
      </w:r>
      <w:bookmarkStart w:id="4" w:name="OLE_LINK3"/>
      <w:bookmarkStart w:id="5" w:name="OLE_LINK4"/>
      <w:r w:rsidRPr="000A2825">
        <w:rPr>
          <w:rFonts w:eastAsia="仿宋_GB2312"/>
          <w:sz w:val="32"/>
          <w:szCs w:val="32"/>
        </w:rPr>
        <w:t>预防用疫苗临床试验的不良事件分级标准指导原则</w:t>
      </w:r>
      <w:bookmarkEnd w:id="4"/>
      <w:bookmarkEnd w:id="5"/>
      <w:r w:rsidRPr="000A2825">
        <w:rPr>
          <w:rFonts w:eastAsia="仿宋_GB2312"/>
          <w:sz w:val="32"/>
          <w:szCs w:val="32"/>
        </w:rPr>
        <w:t>》等相关要求进行。</w:t>
      </w:r>
    </w:p>
    <w:p w:rsidR="004B36CB" w:rsidRPr="000A2825" w:rsidRDefault="004B36CB" w:rsidP="004B36CB">
      <w:pPr>
        <w:autoSpaceDE w:val="0"/>
        <w:autoSpaceDN w:val="0"/>
        <w:adjustRightInd w:val="0"/>
        <w:spacing w:line="600" w:lineRule="exact"/>
        <w:ind w:firstLineChars="200" w:firstLine="640"/>
        <w:rPr>
          <w:rFonts w:eastAsia="仿宋_GB2312"/>
          <w:sz w:val="32"/>
          <w:szCs w:val="32"/>
        </w:rPr>
      </w:pPr>
      <w:r w:rsidRPr="000A2825">
        <w:rPr>
          <w:rFonts w:eastAsia="仿宋_GB2312"/>
          <w:sz w:val="32"/>
          <w:szCs w:val="32"/>
        </w:rPr>
        <w:t>本指导原则仅代表当前的观点和认识，随着研究和认识的深入将不断修订和完善。</w:t>
      </w:r>
    </w:p>
    <w:p w:rsidR="004B36CB" w:rsidRPr="000A2825" w:rsidRDefault="004B36CB" w:rsidP="004B36CB">
      <w:pPr>
        <w:spacing w:line="580" w:lineRule="exact"/>
        <w:ind w:firstLineChars="200" w:firstLine="640"/>
        <w:rPr>
          <w:rFonts w:eastAsia="黑体"/>
          <w:color w:val="000000"/>
          <w:sz w:val="32"/>
          <w:szCs w:val="32"/>
          <w:u w:color="000000"/>
        </w:rPr>
      </w:pPr>
      <w:bookmarkStart w:id="6" w:name="_Toc429319310"/>
      <w:r w:rsidRPr="000A2825">
        <w:rPr>
          <w:rFonts w:eastAsia="黑体"/>
          <w:color w:val="000000"/>
          <w:sz w:val="32"/>
          <w:szCs w:val="32"/>
          <w:u w:color="000000"/>
        </w:rPr>
        <w:lastRenderedPageBreak/>
        <w:t>二、临床试验前的考虑</w:t>
      </w:r>
      <w:bookmarkEnd w:id="6"/>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对于非创新性疫苗，在研发立项时应充分评估已上市同类疫苗临床使用的有效性和安全性。</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通常应首先进行候选疫苗（或</w:t>
      </w:r>
      <w:proofErr w:type="gramStart"/>
      <w:r w:rsidRPr="000A2825">
        <w:rPr>
          <w:rFonts w:eastAsia="仿宋_GB2312"/>
          <w:bCs/>
          <w:color w:val="000000"/>
          <w:kern w:val="0"/>
          <w:sz w:val="32"/>
          <w:szCs w:val="32"/>
        </w:rPr>
        <w:t>称试验</w:t>
      </w:r>
      <w:proofErr w:type="gramEnd"/>
      <w:r w:rsidRPr="000A2825">
        <w:rPr>
          <w:rFonts w:eastAsia="仿宋_GB2312"/>
          <w:bCs/>
          <w:color w:val="000000"/>
          <w:kern w:val="0"/>
          <w:sz w:val="32"/>
          <w:szCs w:val="32"/>
        </w:rPr>
        <w:t>疫苗）与已上市同类疫苗（或称对照疫苗）在药学和非临床方面的比对研究，其比较数据结合临床试验结果用于评价两种疫苗的可比性。</w:t>
      </w:r>
    </w:p>
    <w:p w:rsidR="004B36CB" w:rsidRPr="000A2825" w:rsidRDefault="004B36CB" w:rsidP="004B36CB">
      <w:pPr>
        <w:spacing w:line="580" w:lineRule="exact"/>
        <w:ind w:firstLineChars="200" w:firstLine="640"/>
        <w:rPr>
          <w:rFonts w:eastAsia="仿宋_GB2312"/>
          <w:bCs/>
          <w:color w:val="000000"/>
          <w:spacing w:val="2"/>
          <w:kern w:val="0"/>
          <w:sz w:val="32"/>
          <w:szCs w:val="32"/>
        </w:rPr>
      </w:pPr>
      <w:r w:rsidRPr="000A2825">
        <w:rPr>
          <w:rFonts w:eastAsia="仿宋_GB2312"/>
          <w:bCs/>
          <w:color w:val="000000"/>
          <w:kern w:val="0"/>
          <w:sz w:val="32"/>
          <w:szCs w:val="32"/>
        </w:rPr>
        <w:t>上</w:t>
      </w:r>
      <w:r w:rsidRPr="000A2825">
        <w:rPr>
          <w:rFonts w:eastAsia="仿宋_GB2312"/>
          <w:bCs/>
          <w:color w:val="000000"/>
          <w:spacing w:val="2"/>
          <w:kern w:val="0"/>
          <w:sz w:val="32"/>
          <w:szCs w:val="32"/>
        </w:rPr>
        <w:t>市疫苗关键质量标准项目的可接受限度（如抗原含量</w:t>
      </w:r>
      <w:r w:rsidRPr="000A2825">
        <w:rPr>
          <w:rFonts w:eastAsia="仿宋_GB2312"/>
          <w:bCs/>
          <w:color w:val="000000"/>
          <w:spacing w:val="2"/>
          <w:kern w:val="0"/>
          <w:sz w:val="32"/>
          <w:szCs w:val="32"/>
        </w:rPr>
        <w:t>/</w:t>
      </w:r>
      <w:r w:rsidRPr="000A2825">
        <w:rPr>
          <w:rFonts w:eastAsia="仿宋_GB2312"/>
          <w:bCs/>
          <w:color w:val="000000"/>
          <w:spacing w:val="2"/>
          <w:kern w:val="0"/>
          <w:sz w:val="32"/>
          <w:szCs w:val="32"/>
        </w:rPr>
        <w:t>效价、病毒滴度、产品及工艺相关杂质等），不仅须根据生产工艺能力、稳定性研究等药学研究数据确定，还需结合非临床研究批次和结果、注册临床试验批次的核定结果及临床试验安全有效性结果分析论证其合理性。因此，应在充分考虑生产规模的预期放大、生产工艺地址变更、生产参数调整及产品关键质量属性的变异度、产品货架期降解等因素基础上，选取在上述因素方面可代表上市生产的试验疫苗进入注册临床试验。建议采用商业化规模生产的疫苗用于申请上市许可的关键性注册临床试验（</w:t>
      </w:r>
      <w:proofErr w:type="gramStart"/>
      <w:r w:rsidRPr="000A2825">
        <w:rPr>
          <w:rFonts w:eastAsia="仿宋_GB2312"/>
          <w:bCs/>
          <w:color w:val="000000"/>
          <w:spacing w:val="2"/>
          <w:kern w:val="0"/>
          <w:sz w:val="32"/>
          <w:szCs w:val="32"/>
        </w:rPr>
        <w:t>含加强</w:t>
      </w:r>
      <w:proofErr w:type="gramEnd"/>
      <w:r w:rsidRPr="000A2825">
        <w:rPr>
          <w:rFonts w:eastAsia="仿宋_GB2312"/>
          <w:bCs/>
          <w:color w:val="000000"/>
          <w:spacing w:val="2"/>
          <w:kern w:val="0"/>
          <w:sz w:val="32"/>
          <w:szCs w:val="32"/>
        </w:rPr>
        <w:t>免疫）。</w:t>
      </w:r>
    </w:p>
    <w:p w:rsidR="004B36CB" w:rsidRPr="000A2825" w:rsidRDefault="004B36CB" w:rsidP="004B36CB">
      <w:pPr>
        <w:spacing w:line="580" w:lineRule="exact"/>
        <w:ind w:firstLineChars="200" w:firstLine="640"/>
        <w:rPr>
          <w:rFonts w:eastAsia="黑体"/>
          <w:color w:val="000000"/>
          <w:sz w:val="32"/>
          <w:szCs w:val="32"/>
          <w:u w:color="000000"/>
        </w:rPr>
      </w:pPr>
      <w:bookmarkStart w:id="7" w:name="_Toc429319311"/>
      <w:r w:rsidRPr="000A2825">
        <w:rPr>
          <w:rFonts w:eastAsia="黑体"/>
          <w:color w:val="000000"/>
          <w:sz w:val="32"/>
          <w:szCs w:val="32"/>
          <w:u w:color="000000"/>
        </w:rPr>
        <w:t>三、</w:t>
      </w:r>
      <w:bookmarkEnd w:id="7"/>
      <w:r w:rsidRPr="000A2825">
        <w:rPr>
          <w:rFonts w:eastAsia="黑体"/>
          <w:color w:val="000000"/>
          <w:sz w:val="32"/>
          <w:szCs w:val="32"/>
          <w:u w:color="000000"/>
        </w:rPr>
        <w:t>临床试验设计的一般考虑</w:t>
      </w:r>
    </w:p>
    <w:p w:rsidR="004B36CB" w:rsidRPr="000A2825" w:rsidRDefault="004B36CB" w:rsidP="004B36CB">
      <w:pPr>
        <w:spacing w:line="580" w:lineRule="exact"/>
        <w:ind w:firstLineChars="200" w:firstLine="640"/>
        <w:rPr>
          <w:rFonts w:eastAsia="仿宋_GB2312"/>
          <w:bCs/>
          <w:color w:val="000000"/>
          <w:spacing w:val="2"/>
          <w:kern w:val="0"/>
          <w:sz w:val="32"/>
          <w:szCs w:val="32"/>
        </w:rPr>
      </w:pPr>
      <w:r w:rsidRPr="000A2825">
        <w:rPr>
          <w:rFonts w:eastAsia="仿宋_GB2312"/>
          <w:bCs/>
          <w:color w:val="000000"/>
          <w:kern w:val="0"/>
          <w:sz w:val="32"/>
          <w:szCs w:val="32"/>
        </w:rPr>
        <w:t>对</w:t>
      </w:r>
      <w:r w:rsidRPr="000A2825">
        <w:rPr>
          <w:rFonts w:eastAsia="仿宋_GB2312"/>
          <w:bCs/>
          <w:color w:val="000000"/>
          <w:spacing w:val="2"/>
          <w:kern w:val="0"/>
          <w:sz w:val="32"/>
          <w:szCs w:val="32"/>
        </w:rPr>
        <w:t>于非创新性疫苗，临床试验的主要目的是评价该疫苗与对照疫苗在安全有效性方面的可比性。临床可比性研究方案的设计在符合伦理和科学要求的同时，还要考虑近期疾病流行病学特征（传播途径、发病率等）、已上市同类疫苗的应用对所预防疾病流行病学特征的影响，疫苗应用的覆盖率以及人群免疫水平等。</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当不同人群的免疫程序、免疫原性特征、评价标准等存</w:t>
      </w:r>
      <w:r w:rsidRPr="000A2825">
        <w:rPr>
          <w:rFonts w:eastAsia="仿宋_GB2312"/>
          <w:bCs/>
          <w:color w:val="000000"/>
          <w:kern w:val="0"/>
          <w:sz w:val="32"/>
          <w:szCs w:val="32"/>
        </w:rPr>
        <w:lastRenderedPageBreak/>
        <w:t>在差异时，应单独设计临床试验，分别评价安全有效性。</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8" w:name="_Toc409439878"/>
      <w:bookmarkStart w:id="9" w:name="_Toc409439928"/>
      <w:bookmarkStart w:id="10" w:name="_Toc409439953"/>
      <w:bookmarkStart w:id="11" w:name="_Toc429319312"/>
      <w:r w:rsidRPr="000A2825">
        <w:rPr>
          <w:rFonts w:eastAsia="楷体_GB2312"/>
          <w:bCs/>
          <w:color w:val="000000"/>
          <w:kern w:val="0"/>
          <w:sz w:val="32"/>
          <w:szCs w:val="32"/>
        </w:rPr>
        <w:t>（一）随机对照临床试验</w:t>
      </w:r>
      <w:bookmarkEnd w:id="8"/>
      <w:bookmarkEnd w:id="9"/>
      <w:bookmarkEnd w:id="10"/>
      <w:bookmarkEnd w:id="11"/>
    </w:p>
    <w:p w:rsidR="004B36CB" w:rsidRPr="000A2825" w:rsidRDefault="004B36CB" w:rsidP="004B36CB">
      <w:pPr>
        <w:spacing w:line="580" w:lineRule="exact"/>
        <w:ind w:firstLineChars="200" w:firstLine="640"/>
        <w:rPr>
          <w:rFonts w:eastAsia="仿宋_GB2312"/>
          <w:bCs/>
          <w:color w:val="000000"/>
          <w:kern w:val="0"/>
          <w:sz w:val="32"/>
          <w:szCs w:val="32"/>
        </w:rPr>
      </w:pPr>
      <w:bookmarkStart w:id="12" w:name="_Toc409439879"/>
      <w:bookmarkStart w:id="13" w:name="_Toc409439929"/>
      <w:bookmarkStart w:id="14" w:name="_Toc409439954"/>
      <w:bookmarkStart w:id="15" w:name="_Toc429319313"/>
      <w:r w:rsidRPr="000A2825">
        <w:rPr>
          <w:rFonts w:eastAsia="仿宋_GB2312"/>
          <w:bCs/>
          <w:color w:val="000000"/>
          <w:kern w:val="0"/>
          <w:sz w:val="32"/>
          <w:szCs w:val="32"/>
        </w:rPr>
        <w:t xml:space="preserve">1. </w:t>
      </w:r>
      <w:r w:rsidRPr="000A2825">
        <w:rPr>
          <w:rFonts w:eastAsia="仿宋_GB2312"/>
          <w:bCs/>
          <w:color w:val="000000"/>
          <w:kern w:val="0"/>
          <w:sz w:val="32"/>
          <w:szCs w:val="32"/>
        </w:rPr>
        <w:t>对照疫苗的选择</w:t>
      </w:r>
      <w:bookmarkEnd w:id="12"/>
      <w:bookmarkEnd w:id="13"/>
      <w:bookmarkEnd w:id="14"/>
      <w:bookmarkEnd w:id="15"/>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对照疫苗是指已获得批准在境内上市，拟在临床试验中作为参比对照的疫苗。</w:t>
      </w:r>
      <w:bookmarkStart w:id="16" w:name="_Toc400975426"/>
      <w:bookmarkStart w:id="17" w:name="_Toc401218584"/>
      <w:bookmarkStart w:id="18" w:name="_Toc402252377"/>
      <w:r w:rsidRPr="000A2825">
        <w:rPr>
          <w:rFonts w:eastAsia="仿宋_GB2312"/>
          <w:bCs/>
          <w:color w:val="000000"/>
          <w:kern w:val="0"/>
          <w:sz w:val="32"/>
          <w:szCs w:val="32"/>
        </w:rPr>
        <w:t>选择对照疫苗须考虑其具有充分的安全有效性数据，并已在临床广泛应用。一般应选择原</w:t>
      </w:r>
      <w:proofErr w:type="gramStart"/>
      <w:r w:rsidRPr="000A2825">
        <w:rPr>
          <w:rFonts w:eastAsia="仿宋_GB2312"/>
          <w:bCs/>
          <w:color w:val="000000"/>
          <w:kern w:val="0"/>
          <w:sz w:val="32"/>
          <w:szCs w:val="32"/>
        </w:rPr>
        <w:t>研</w:t>
      </w:r>
      <w:proofErr w:type="gramEnd"/>
      <w:r w:rsidRPr="000A2825">
        <w:rPr>
          <w:rFonts w:eastAsia="仿宋_GB2312"/>
          <w:bCs/>
          <w:color w:val="000000"/>
          <w:kern w:val="0"/>
          <w:sz w:val="32"/>
          <w:szCs w:val="32"/>
        </w:rPr>
        <w:t>产品作为对照疫苗。</w:t>
      </w:r>
      <w:bookmarkEnd w:id="16"/>
      <w:bookmarkEnd w:id="17"/>
      <w:bookmarkEnd w:id="18"/>
      <w:r w:rsidRPr="000A2825">
        <w:rPr>
          <w:rFonts w:eastAsia="仿宋_GB2312"/>
          <w:bCs/>
          <w:color w:val="000000"/>
          <w:kern w:val="0"/>
          <w:sz w:val="32"/>
          <w:szCs w:val="32"/>
        </w:rPr>
        <w:t>选择非原</w:t>
      </w:r>
      <w:proofErr w:type="gramStart"/>
      <w:r w:rsidRPr="000A2825">
        <w:rPr>
          <w:rFonts w:eastAsia="仿宋_GB2312"/>
          <w:bCs/>
          <w:color w:val="000000"/>
          <w:kern w:val="0"/>
          <w:sz w:val="32"/>
          <w:szCs w:val="32"/>
        </w:rPr>
        <w:t>研</w:t>
      </w:r>
      <w:proofErr w:type="gramEnd"/>
      <w:r w:rsidRPr="000A2825">
        <w:rPr>
          <w:rFonts w:eastAsia="仿宋_GB2312"/>
          <w:bCs/>
          <w:color w:val="000000"/>
          <w:kern w:val="0"/>
          <w:sz w:val="32"/>
          <w:szCs w:val="32"/>
        </w:rPr>
        <w:t>产品时应提供充分、合理的依据。</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原则上，试验疫苗研发过程的各阶段应使用相同的对照疫苗（包括药学和非临床研究），以保证研究结果分析的严谨性。对照疫苗应符合国家相关法律法规要求，通常应具有中国的批签发检验报告等必要的证明性文件，且抗原含量</w:t>
      </w:r>
      <w:r w:rsidRPr="000A2825">
        <w:rPr>
          <w:rFonts w:eastAsia="仿宋_GB2312"/>
          <w:bCs/>
          <w:color w:val="000000"/>
          <w:kern w:val="0"/>
          <w:sz w:val="32"/>
          <w:szCs w:val="32"/>
        </w:rPr>
        <w:t>/</w:t>
      </w:r>
      <w:r w:rsidRPr="000A2825">
        <w:rPr>
          <w:rFonts w:eastAsia="仿宋_GB2312"/>
          <w:bCs/>
          <w:color w:val="000000"/>
          <w:kern w:val="0"/>
          <w:sz w:val="32"/>
          <w:szCs w:val="32"/>
        </w:rPr>
        <w:t>效价数值确定。还需考虑试验疫苗与对照疫苗在目标接种人群、免疫程序、接种途径</w:t>
      </w:r>
      <w:r w:rsidRPr="000A2825">
        <w:rPr>
          <w:rFonts w:eastAsia="仿宋_GB2312"/>
          <w:bCs/>
          <w:color w:val="000000"/>
          <w:kern w:val="0"/>
          <w:sz w:val="32"/>
          <w:szCs w:val="32"/>
        </w:rPr>
        <w:t>/</w:t>
      </w:r>
      <w:r w:rsidRPr="000A2825">
        <w:rPr>
          <w:rFonts w:eastAsia="仿宋_GB2312"/>
          <w:bCs/>
          <w:color w:val="000000"/>
          <w:kern w:val="0"/>
          <w:sz w:val="32"/>
          <w:szCs w:val="32"/>
        </w:rPr>
        <w:t>方式等方面的一致性，综合分析两者在种子批（菌毒种、基因型和血清型）、细胞基质、剂型、试验前抗原</w:t>
      </w:r>
      <w:r w:rsidRPr="000A2825">
        <w:rPr>
          <w:rFonts w:eastAsia="仿宋_GB2312"/>
          <w:bCs/>
          <w:color w:val="000000"/>
          <w:kern w:val="0"/>
          <w:sz w:val="32"/>
          <w:szCs w:val="32"/>
        </w:rPr>
        <w:t>/</w:t>
      </w:r>
      <w:r w:rsidRPr="000A2825">
        <w:rPr>
          <w:rFonts w:eastAsia="仿宋_GB2312"/>
          <w:bCs/>
          <w:color w:val="000000"/>
          <w:kern w:val="0"/>
          <w:sz w:val="32"/>
          <w:szCs w:val="32"/>
        </w:rPr>
        <w:t>效价检测结果等方面的差异对临床数据的影响。</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鼓励采用循证医学的方法对拟选用对照疫苗的临床研究数据进行科学、客观的分析并作为制定临床试验方案的依据。</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对涉及处方和生产工艺等变更的已上市疫苗，如需开展临床试验</w:t>
      </w:r>
      <w:r w:rsidRPr="000A2825">
        <w:rPr>
          <w:rFonts w:eastAsia="仿宋_GB2312"/>
          <w:bCs/>
          <w:color w:val="000000"/>
          <w:kern w:val="0"/>
          <w:sz w:val="32"/>
          <w:szCs w:val="32"/>
        </w:rPr>
        <w:t>,</w:t>
      </w:r>
      <w:r w:rsidRPr="000A2825">
        <w:rPr>
          <w:rFonts w:eastAsia="仿宋_GB2312"/>
          <w:bCs/>
          <w:color w:val="000000"/>
          <w:kern w:val="0"/>
          <w:sz w:val="32"/>
          <w:szCs w:val="32"/>
        </w:rPr>
        <w:t>对照疫苗应考虑选择变更前的疫苗，进行变更前后疫苗的比较研究。</w:t>
      </w:r>
    </w:p>
    <w:p w:rsidR="004B36CB" w:rsidRPr="000A2825" w:rsidRDefault="004B36CB" w:rsidP="004B36CB">
      <w:pPr>
        <w:spacing w:line="580" w:lineRule="exact"/>
        <w:ind w:firstLineChars="200" w:firstLine="640"/>
        <w:rPr>
          <w:rFonts w:eastAsia="仿宋_GB2312"/>
          <w:bCs/>
          <w:color w:val="000000"/>
          <w:kern w:val="0"/>
          <w:sz w:val="32"/>
          <w:szCs w:val="32"/>
        </w:rPr>
      </w:pPr>
      <w:bookmarkStart w:id="19" w:name="_Toc409439880"/>
      <w:bookmarkStart w:id="20" w:name="_Toc409439930"/>
      <w:bookmarkStart w:id="21" w:name="_Toc409439955"/>
      <w:bookmarkStart w:id="22" w:name="_Toc429319314"/>
      <w:r w:rsidRPr="000A2825">
        <w:rPr>
          <w:rFonts w:eastAsia="仿宋_GB2312"/>
          <w:bCs/>
          <w:color w:val="000000"/>
          <w:kern w:val="0"/>
          <w:sz w:val="32"/>
          <w:szCs w:val="32"/>
        </w:rPr>
        <w:t xml:space="preserve">2. </w:t>
      </w:r>
      <w:r w:rsidRPr="000A2825">
        <w:rPr>
          <w:rFonts w:eastAsia="仿宋_GB2312"/>
          <w:bCs/>
          <w:color w:val="000000"/>
          <w:kern w:val="0"/>
          <w:sz w:val="32"/>
          <w:szCs w:val="32"/>
        </w:rPr>
        <w:t>研究疫苗的管理和质量控制</w:t>
      </w:r>
      <w:bookmarkEnd w:id="19"/>
      <w:bookmarkEnd w:id="20"/>
      <w:bookmarkEnd w:id="21"/>
      <w:bookmarkEnd w:id="22"/>
    </w:p>
    <w:p w:rsidR="004B36CB" w:rsidRPr="000A2825" w:rsidRDefault="004B36CB" w:rsidP="004B36CB">
      <w:pPr>
        <w:spacing w:line="580" w:lineRule="exact"/>
        <w:ind w:firstLineChars="200" w:firstLine="640"/>
        <w:rPr>
          <w:rFonts w:eastAsia="仿宋_GB2312"/>
          <w:bCs/>
          <w:color w:val="000000"/>
          <w:spacing w:val="2"/>
          <w:kern w:val="0"/>
          <w:sz w:val="32"/>
          <w:szCs w:val="32"/>
        </w:rPr>
      </w:pPr>
      <w:r w:rsidRPr="000A2825">
        <w:rPr>
          <w:rFonts w:eastAsia="仿宋_GB2312"/>
          <w:bCs/>
          <w:color w:val="000000"/>
          <w:kern w:val="0"/>
          <w:sz w:val="32"/>
          <w:szCs w:val="32"/>
        </w:rPr>
        <w:t>按</w:t>
      </w:r>
      <w:r w:rsidRPr="000A2825">
        <w:rPr>
          <w:rFonts w:eastAsia="仿宋_GB2312"/>
          <w:bCs/>
          <w:color w:val="000000"/>
          <w:spacing w:val="2"/>
          <w:kern w:val="0"/>
          <w:sz w:val="32"/>
          <w:szCs w:val="32"/>
        </w:rPr>
        <w:t>法规要求提供的临床试验用样品（即：研究疫苗，包括试验疫苗和对照疫苗）应编码清晰、易于辨识，并具备法</w:t>
      </w:r>
      <w:r w:rsidRPr="000A2825">
        <w:rPr>
          <w:rFonts w:eastAsia="仿宋_GB2312"/>
          <w:bCs/>
          <w:color w:val="000000"/>
          <w:spacing w:val="2"/>
          <w:kern w:val="0"/>
          <w:sz w:val="32"/>
          <w:szCs w:val="32"/>
        </w:rPr>
        <w:lastRenderedPageBreak/>
        <w:t>定的实验室检测机构出具的复核检验报告或批签发报告，疫苗的名称、批号、规格、制备或生产日期等应与报告一致。建立研究疫苗合</w:t>
      </w:r>
      <w:proofErr w:type="gramStart"/>
      <w:r w:rsidRPr="000A2825">
        <w:rPr>
          <w:rFonts w:eastAsia="仿宋_GB2312"/>
          <w:bCs/>
          <w:color w:val="000000"/>
          <w:spacing w:val="2"/>
          <w:kern w:val="0"/>
          <w:sz w:val="32"/>
          <w:szCs w:val="32"/>
        </w:rPr>
        <w:t>规</w:t>
      </w:r>
      <w:proofErr w:type="gramEnd"/>
      <w:r w:rsidRPr="000A2825">
        <w:rPr>
          <w:rFonts w:eastAsia="仿宋_GB2312"/>
          <w:bCs/>
          <w:color w:val="000000"/>
          <w:spacing w:val="2"/>
          <w:kern w:val="0"/>
          <w:sz w:val="32"/>
          <w:szCs w:val="32"/>
        </w:rPr>
        <w:t>性管理制度，涵盖疫苗的接收、保管、配制、回收、退还</w:t>
      </w:r>
      <w:r w:rsidRPr="000A2825">
        <w:rPr>
          <w:rFonts w:eastAsia="仿宋_GB2312"/>
          <w:bCs/>
          <w:color w:val="000000"/>
          <w:spacing w:val="2"/>
          <w:kern w:val="0"/>
          <w:sz w:val="32"/>
          <w:szCs w:val="32"/>
        </w:rPr>
        <w:t>/</w:t>
      </w:r>
      <w:r w:rsidRPr="000A2825">
        <w:rPr>
          <w:rFonts w:eastAsia="仿宋_GB2312"/>
          <w:bCs/>
          <w:color w:val="000000"/>
          <w:spacing w:val="2"/>
          <w:kern w:val="0"/>
          <w:sz w:val="32"/>
          <w:szCs w:val="32"/>
        </w:rPr>
        <w:t>销毁、疫苗冷链管理以及冷链中断的疫苗处置等各环节，详细记录并体现有效和</w:t>
      </w:r>
      <w:proofErr w:type="gramStart"/>
      <w:r w:rsidRPr="000A2825">
        <w:rPr>
          <w:rFonts w:eastAsia="仿宋_GB2312"/>
          <w:bCs/>
          <w:color w:val="000000"/>
          <w:spacing w:val="2"/>
          <w:kern w:val="0"/>
          <w:sz w:val="32"/>
          <w:szCs w:val="32"/>
        </w:rPr>
        <w:t>可</w:t>
      </w:r>
      <w:proofErr w:type="gramEnd"/>
      <w:r w:rsidRPr="000A2825">
        <w:rPr>
          <w:rFonts w:eastAsia="仿宋_GB2312"/>
          <w:bCs/>
          <w:color w:val="000000"/>
          <w:spacing w:val="2"/>
          <w:kern w:val="0"/>
          <w:sz w:val="32"/>
          <w:szCs w:val="32"/>
        </w:rPr>
        <w:t>追溯的质量控制措施。</w:t>
      </w:r>
      <w:proofErr w:type="gramStart"/>
      <w:r w:rsidRPr="000A2825">
        <w:rPr>
          <w:rFonts w:eastAsia="仿宋_GB2312"/>
          <w:bCs/>
          <w:color w:val="000000"/>
          <w:spacing w:val="2"/>
          <w:kern w:val="0"/>
          <w:sz w:val="32"/>
          <w:szCs w:val="32"/>
        </w:rPr>
        <w:t>设盲试验</w:t>
      </w:r>
      <w:proofErr w:type="gramEnd"/>
      <w:r w:rsidRPr="000A2825">
        <w:rPr>
          <w:rFonts w:eastAsia="仿宋_GB2312"/>
          <w:bCs/>
          <w:color w:val="000000"/>
          <w:spacing w:val="2"/>
          <w:kern w:val="0"/>
          <w:sz w:val="32"/>
          <w:szCs w:val="32"/>
        </w:rPr>
        <w:t>应全程</w:t>
      </w:r>
      <w:proofErr w:type="gramStart"/>
      <w:r w:rsidRPr="000A2825">
        <w:rPr>
          <w:rFonts w:eastAsia="仿宋_GB2312"/>
          <w:bCs/>
          <w:color w:val="000000"/>
          <w:spacing w:val="2"/>
          <w:kern w:val="0"/>
          <w:sz w:val="32"/>
          <w:szCs w:val="32"/>
        </w:rPr>
        <w:t>维持盲态管理</w:t>
      </w:r>
      <w:proofErr w:type="gramEnd"/>
      <w:r w:rsidRPr="000A2825">
        <w:rPr>
          <w:rFonts w:eastAsia="仿宋_GB2312"/>
          <w:bCs/>
          <w:color w:val="000000"/>
          <w:spacing w:val="2"/>
          <w:kern w:val="0"/>
          <w:sz w:val="32"/>
          <w:szCs w:val="32"/>
        </w:rPr>
        <w:t>。</w:t>
      </w:r>
    </w:p>
    <w:p w:rsidR="004B36CB" w:rsidRPr="000A2825" w:rsidRDefault="004B36CB" w:rsidP="004B36CB">
      <w:pPr>
        <w:spacing w:line="580" w:lineRule="exact"/>
        <w:ind w:firstLineChars="200" w:firstLine="640"/>
        <w:rPr>
          <w:rFonts w:eastAsia="仿宋_GB2312"/>
          <w:bCs/>
          <w:color w:val="000000"/>
          <w:kern w:val="0"/>
          <w:sz w:val="32"/>
          <w:szCs w:val="32"/>
        </w:rPr>
      </w:pPr>
      <w:bookmarkStart w:id="23" w:name="_Toc409439931"/>
      <w:r w:rsidRPr="000A2825">
        <w:rPr>
          <w:rFonts w:eastAsia="仿宋_GB2312"/>
          <w:bCs/>
          <w:color w:val="000000"/>
          <w:kern w:val="0"/>
          <w:sz w:val="32"/>
          <w:szCs w:val="32"/>
        </w:rPr>
        <w:t>建议对注册临床试验现场所使用的试验疫苗和对照疫苗同步进行抗原含量</w:t>
      </w:r>
      <w:r w:rsidRPr="000A2825">
        <w:rPr>
          <w:rFonts w:eastAsia="仿宋_GB2312"/>
          <w:bCs/>
          <w:color w:val="000000"/>
          <w:kern w:val="0"/>
          <w:sz w:val="32"/>
          <w:szCs w:val="32"/>
        </w:rPr>
        <w:t>/</w:t>
      </w:r>
      <w:r w:rsidRPr="000A2825">
        <w:rPr>
          <w:rFonts w:eastAsia="仿宋_GB2312"/>
          <w:bCs/>
          <w:color w:val="000000"/>
          <w:kern w:val="0"/>
          <w:sz w:val="32"/>
          <w:szCs w:val="32"/>
        </w:rPr>
        <w:t>效价的复测检验。</w:t>
      </w:r>
      <w:bookmarkEnd w:id="23"/>
      <w:r w:rsidRPr="000A2825">
        <w:rPr>
          <w:rFonts w:eastAsia="仿宋_GB2312"/>
          <w:bCs/>
          <w:color w:val="000000"/>
          <w:kern w:val="0"/>
          <w:sz w:val="32"/>
          <w:szCs w:val="32"/>
        </w:rPr>
        <w:t>试验疫苗和对照疫苗的有效期应尽可能保持可比。试验疫苗的抗原含量</w:t>
      </w:r>
      <w:r w:rsidRPr="000A2825">
        <w:rPr>
          <w:rFonts w:eastAsia="仿宋_GB2312"/>
          <w:bCs/>
          <w:color w:val="000000"/>
          <w:kern w:val="0"/>
          <w:sz w:val="32"/>
          <w:szCs w:val="32"/>
        </w:rPr>
        <w:t>/</w:t>
      </w:r>
      <w:r w:rsidRPr="000A2825">
        <w:rPr>
          <w:rFonts w:eastAsia="仿宋_GB2312"/>
          <w:bCs/>
          <w:color w:val="000000"/>
          <w:kern w:val="0"/>
          <w:sz w:val="32"/>
          <w:szCs w:val="32"/>
        </w:rPr>
        <w:t>效价测定结果可以为制定其质量标准中检定项目的安全性上限和有效性下限提供参考以及积累技术数据。</w:t>
      </w:r>
    </w:p>
    <w:p w:rsidR="004B36CB" w:rsidRPr="000A2825" w:rsidRDefault="004B36CB" w:rsidP="004B36CB">
      <w:pPr>
        <w:spacing w:line="580" w:lineRule="exact"/>
        <w:ind w:firstLineChars="200" w:firstLine="640"/>
        <w:rPr>
          <w:rFonts w:eastAsia="仿宋_GB2312"/>
          <w:bCs/>
          <w:color w:val="000000"/>
          <w:kern w:val="0"/>
          <w:sz w:val="32"/>
          <w:szCs w:val="32"/>
        </w:rPr>
      </w:pPr>
      <w:bookmarkStart w:id="24" w:name="_Toc409439881"/>
      <w:bookmarkStart w:id="25" w:name="_Toc409439932"/>
      <w:bookmarkStart w:id="26" w:name="_Toc409439956"/>
      <w:bookmarkStart w:id="27" w:name="_Toc429319315"/>
      <w:r w:rsidRPr="000A2825">
        <w:rPr>
          <w:rFonts w:eastAsia="仿宋_GB2312"/>
          <w:bCs/>
          <w:color w:val="000000"/>
          <w:kern w:val="0"/>
          <w:sz w:val="32"/>
          <w:szCs w:val="32"/>
        </w:rPr>
        <w:t xml:space="preserve">3. </w:t>
      </w:r>
      <w:r w:rsidRPr="000A2825">
        <w:rPr>
          <w:rFonts w:eastAsia="仿宋_GB2312"/>
          <w:bCs/>
          <w:color w:val="000000"/>
          <w:kern w:val="0"/>
          <w:sz w:val="32"/>
          <w:szCs w:val="32"/>
        </w:rPr>
        <w:t>免疫原性替代终点</w:t>
      </w:r>
      <w:bookmarkEnd w:id="24"/>
      <w:bookmarkEnd w:id="25"/>
      <w:bookmarkEnd w:id="26"/>
      <w:bookmarkEnd w:id="27"/>
    </w:p>
    <w:p w:rsidR="004B36CB" w:rsidRPr="000A2825" w:rsidRDefault="004B36CB" w:rsidP="004B36CB">
      <w:pPr>
        <w:spacing w:line="580" w:lineRule="exact"/>
        <w:ind w:firstLineChars="200" w:firstLine="640"/>
        <w:rPr>
          <w:rFonts w:eastAsia="仿宋_GB2312"/>
          <w:bCs/>
          <w:color w:val="000000"/>
          <w:spacing w:val="2"/>
          <w:kern w:val="0"/>
          <w:sz w:val="32"/>
          <w:szCs w:val="32"/>
        </w:rPr>
      </w:pPr>
      <w:r w:rsidRPr="000A2825">
        <w:rPr>
          <w:rFonts w:eastAsia="仿宋_GB2312"/>
          <w:bCs/>
          <w:color w:val="000000"/>
          <w:kern w:val="0"/>
          <w:sz w:val="32"/>
          <w:szCs w:val="32"/>
        </w:rPr>
        <w:t>对</w:t>
      </w:r>
      <w:r w:rsidRPr="000A2825">
        <w:rPr>
          <w:rFonts w:eastAsia="仿宋_GB2312"/>
          <w:bCs/>
          <w:color w:val="000000"/>
          <w:spacing w:val="2"/>
          <w:kern w:val="0"/>
          <w:sz w:val="32"/>
          <w:szCs w:val="32"/>
        </w:rPr>
        <w:t>于大多数免疫原性与临床保护效力相关性明确的疫苗，可采用免疫原性作为有效性评价替代终点，借助可靠的实验室检测方法并确定合理的临床有效性判定标准进行可比性判断。在缺少可靠的免疫原性替代终点时，通常应进行临床保护效力试验，无法提供保护效力试验时应阐明理由，并提供支持注册的其他证据。</w:t>
      </w:r>
    </w:p>
    <w:p w:rsidR="004B36CB" w:rsidRPr="000A2825" w:rsidRDefault="004B36CB" w:rsidP="004B36CB">
      <w:pPr>
        <w:spacing w:line="580" w:lineRule="exact"/>
        <w:ind w:firstLineChars="200" w:firstLine="640"/>
        <w:rPr>
          <w:rFonts w:eastAsia="仿宋_GB2312"/>
          <w:bCs/>
          <w:color w:val="000000"/>
          <w:spacing w:val="2"/>
          <w:kern w:val="0"/>
          <w:sz w:val="32"/>
          <w:szCs w:val="32"/>
        </w:rPr>
      </w:pPr>
      <w:r w:rsidRPr="000A2825">
        <w:rPr>
          <w:rFonts w:eastAsia="仿宋_GB2312"/>
          <w:bCs/>
          <w:color w:val="000000"/>
          <w:kern w:val="0"/>
          <w:sz w:val="32"/>
          <w:szCs w:val="32"/>
        </w:rPr>
        <w:t>当</w:t>
      </w:r>
      <w:r w:rsidRPr="000A2825">
        <w:rPr>
          <w:rFonts w:eastAsia="仿宋_GB2312"/>
          <w:bCs/>
          <w:color w:val="000000"/>
          <w:spacing w:val="2"/>
          <w:kern w:val="0"/>
          <w:sz w:val="32"/>
          <w:szCs w:val="32"/>
        </w:rPr>
        <w:t>免疫原性评价指标作为主要的有效性判定终点时，应合理选择有代表性的受试人群，并尽可能与临床应用的目标人群保持一致。有效样本量应根据试验目的和研究设计确定，同时应考虑免疫原性检测方法的差异性和受试人群免疫反应的变异程度。</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免疫原性替代终点评价标准的制定应考虑受试人群的</w:t>
      </w:r>
      <w:r w:rsidRPr="000A2825">
        <w:rPr>
          <w:rFonts w:eastAsia="仿宋_GB2312"/>
          <w:bCs/>
          <w:color w:val="000000"/>
          <w:kern w:val="0"/>
          <w:sz w:val="32"/>
          <w:szCs w:val="32"/>
        </w:rPr>
        <w:lastRenderedPageBreak/>
        <w:t>基线情况，如人口学特征、流行病学本底（易感和非易感人群）等。为准确评价疫苗诱导的免疫应答水平，在试验设计时应基于试验疫苗的特征，充分考虑疫苗所针对病原在本地区人群中的感染状况，原则上应选择易感者作为研究对象，并作为主要评价人群；评估拟定临床研究现场的易感者比例，以期获得符合相关技术要求的可评价数据。</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免疫原性评价还应在全面分析对照疫苗免疫应答动态规律的基础上，选择能较好反映该类疫苗免疫原性特征的时点采集生物样本，免疫程序和样本采集时间应与对照疫苗一致，全面反映试验疫苗免疫成功率和免疫持久性（或免疫记忆反应）。若有明确的长期保护性替代终点和应答水平，原则上应以此作为主要终点和判定标准。</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以体液免疫为主的疫苗，其免疫原性替代终点通常采用接种后免疫应答率（包括抗体阳转率等）和抗体几何平均滴度（</w:t>
      </w:r>
      <w:r w:rsidRPr="000A2825">
        <w:rPr>
          <w:rFonts w:eastAsia="仿宋_GB2312"/>
          <w:bCs/>
          <w:color w:val="000000"/>
          <w:kern w:val="0"/>
          <w:sz w:val="32"/>
          <w:szCs w:val="32"/>
        </w:rPr>
        <w:t>GMT</w:t>
      </w:r>
      <w:r w:rsidRPr="000A2825">
        <w:rPr>
          <w:rFonts w:eastAsia="仿宋_GB2312"/>
          <w:bCs/>
          <w:color w:val="000000"/>
          <w:kern w:val="0"/>
          <w:sz w:val="32"/>
          <w:szCs w:val="32"/>
        </w:rPr>
        <w:t>）</w:t>
      </w:r>
      <w:r w:rsidRPr="000A2825">
        <w:rPr>
          <w:rFonts w:eastAsia="仿宋_GB2312"/>
          <w:bCs/>
          <w:color w:val="000000"/>
          <w:kern w:val="0"/>
          <w:sz w:val="32"/>
          <w:szCs w:val="32"/>
        </w:rPr>
        <w:t>/</w:t>
      </w:r>
      <w:r w:rsidRPr="000A2825">
        <w:rPr>
          <w:rFonts w:eastAsia="仿宋_GB2312"/>
          <w:bCs/>
          <w:color w:val="000000"/>
          <w:kern w:val="0"/>
          <w:sz w:val="32"/>
          <w:szCs w:val="32"/>
        </w:rPr>
        <w:t>几何平均浓度（</w:t>
      </w:r>
      <w:r w:rsidRPr="000A2825">
        <w:rPr>
          <w:rFonts w:eastAsia="仿宋_GB2312"/>
          <w:bCs/>
          <w:color w:val="000000"/>
          <w:kern w:val="0"/>
          <w:sz w:val="32"/>
          <w:szCs w:val="32"/>
        </w:rPr>
        <w:t>GMC</w:t>
      </w:r>
      <w:r w:rsidRPr="000A2825">
        <w:rPr>
          <w:rFonts w:eastAsia="仿宋_GB2312"/>
          <w:bCs/>
          <w:color w:val="000000"/>
          <w:kern w:val="0"/>
          <w:sz w:val="32"/>
          <w:szCs w:val="32"/>
        </w:rPr>
        <w:t>）及其增长倍数。鉴于免疫学理论及检测方法的进展迅速，鼓励同时开展细胞免疫学指标的探索，更全面地反映疫苗诱导的免疫应答反应。</w:t>
      </w:r>
    </w:p>
    <w:p w:rsidR="004B36CB" w:rsidRPr="000A2825" w:rsidRDefault="004B36CB" w:rsidP="004B36CB">
      <w:pPr>
        <w:spacing w:line="580" w:lineRule="exact"/>
        <w:ind w:firstLineChars="200" w:firstLine="640"/>
        <w:rPr>
          <w:rFonts w:eastAsia="仿宋_GB2312"/>
          <w:bCs/>
          <w:color w:val="000000"/>
          <w:kern w:val="0"/>
          <w:sz w:val="32"/>
          <w:szCs w:val="32"/>
        </w:rPr>
      </w:pPr>
      <w:bookmarkStart w:id="28" w:name="_Toc409439882"/>
      <w:bookmarkStart w:id="29" w:name="_Toc409439933"/>
      <w:bookmarkStart w:id="30" w:name="_Toc409439957"/>
      <w:bookmarkStart w:id="31" w:name="_Toc429319316"/>
      <w:r w:rsidRPr="000A2825">
        <w:rPr>
          <w:rFonts w:eastAsia="仿宋_GB2312"/>
          <w:bCs/>
          <w:color w:val="000000"/>
          <w:kern w:val="0"/>
          <w:sz w:val="32"/>
          <w:szCs w:val="32"/>
        </w:rPr>
        <w:t xml:space="preserve">4. </w:t>
      </w:r>
      <w:r w:rsidRPr="000A2825">
        <w:rPr>
          <w:rFonts w:eastAsia="仿宋_GB2312"/>
          <w:bCs/>
          <w:color w:val="000000"/>
          <w:kern w:val="0"/>
          <w:sz w:val="32"/>
          <w:szCs w:val="32"/>
        </w:rPr>
        <w:t>安全性</w:t>
      </w:r>
      <w:bookmarkEnd w:id="28"/>
      <w:bookmarkEnd w:id="29"/>
      <w:bookmarkEnd w:id="30"/>
      <w:bookmarkEnd w:id="31"/>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临床试验方案中，应参照国家局发布的相应指导原则制定统一的安全性评价标准与方法</w:t>
      </w:r>
      <w:r w:rsidRPr="000A2825">
        <w:rPr>
          <w:rFonts w:eastAsia="仿宋_GB2312"/>
          <w:bCs/>
          <w:color w:val="000000"/>
          <w:kern w:val="0"/>
          <w:sz w:val="32"/>
          <w:szCs w:val="32"/>
        </w:rPr>
        <w:t>,</w:t>
      </w:r>
      <w:r w:rsidRPr="000A2825">
        <w:rPr>
          <w:rFonts w:eastAsia="仿宋_GB2312"/>
          <w:bCs/>
          <w:color w:val="000000"/>
          <w:kern w:val="0"/>
          <w:sz w:val="32"/>
          <w:szCs w:val="32"/>
        </w:rPr>
        <w:t>主动监测和随访疫苗的安全性。原则上安全性监测应持续到最后一次疫苗接种后至少</w:t>
      </w:r>
      <w:r w:rsidRPr="000A2825">
        <w:rPr>
          <w:rFonts w:eastAsia="仿宋_GB2312"/>
          <w:bCs/>
          <w:color w:val="000000"/>
          <w:kern w:val="0"/>
          <w:sz w:val="32"/>
          <w:szCs w:val="32"/>
        </w:rPr>
        <w:t>6</w:t>
      </w:r>
      <w:r w:rsidRPr="000A2825">
        <w:rPr>
          <w:rFonts w:eastAsia="仿宋_GB2312"/>
          <w:bCs/>
          <w:color w:val="000000"/>
          <w:kern w:val="0"/>
          <w:sz w:val="32"/>
          <w:szCs w:val="32"/>
        </w:rPr>
        <w:t>个月，必要时可在整个研究人群或研究亚组中进行长期随访。</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试验方案中应事先确定疫苗接种后的安全性监测时间、</w:t>
      </w:r>
      <w:r w:rsidRPr="000A2825">
        <w:rPr>
          <w:rFonts w:eastAsia="仿宋_GB2312"/>
          <w:bCs/>
          <w:color w:val="000000"/>
          <w:kern w:val="0"/>
          <w:sz w:val="32"/>
          <w:szCs w:val="32"/>
        </w:rPr>
        <w:lastRenderedPageBreak/>
        <w:t>随访点和期限。基于疫苗的特点和类型确定监测时间，接种灭活和重组疫苗主动监测期通常不少于</w:t>
      </w:r>
      <w:r w:rsidRPr="000A2825">
        <w:rPr>
          <w:rFonts w:eastAsia="仿宋_GB2312"/>
          <w:bCs/>
          <w:color w:val="000000"/>
          <w:kern w:val="0"/>
          <w:sz w:val="32"/>
          <w:szCs w:val="32"/>
        </w:rPr>
        <w:t>7</w:t>
      </w:r>
      <w:r w:rsidRPr="000A2825">
        <w:rPr>
          <w:rFonts w:eastAsia="仿宋_GB2312"/>
          <w:bCs/>
          <w:color w:val="000000"/>
          <w:kern w:val="0"/>
          <w:sz w:val="32"/>
          <w:szCs w:val="32"/>
        </w:rPr>
        <w:t>天，减毒活疫苗不少于</w:t>
      </w:r>
      <w:r w:rsidRPr="000A2825">
        <w:rPr>
          <w:rFonts w:eastAsia="仿宋_GB2312"/>
          <w:bCs/>
          <w:color w:val="000000"/>
          <w:kern w:val="0"/>
          <w:sz w:val="32"/>
          <w:szCs w:val="32"/>
        </w:rPr>
        <w:t>14</w:t>
      </w:r>
      <w:r w:rsidRPr="000A2825">
        <w:rPr>
          <w:rFonts w:eastAsia="仿宋_GB2312"/>
          <w:bCs/>
          <w:color w:val="000000"/>
          <w:kern w:val="0"/>
          <w:sz w:val="32"/>
          <w:szCs w:val="32"/>
        </w:rPr>
        <w:t>天；主动和被动监测结合收集</w:t>
      </w:r>
      <w:r w:rsidRPr="000A2825">
        <w:rPr>
          <w:rFonts w:eastAsia="仿宋_GB2312"/>
          <w:bCs/>
          <w:color w:val="000000"/>
          <w:kern w:val="0"/>
          <w:sz w:val="32"/>
          <w:szCs w:val="32"/>
        </w:rPr>
        <w:t>30</w:t>
      </w:r>
      <w:r w:rsidRPr="000A2825">
        <w:rPr>
          <w:rFonts w:eastAsia="仿宋_GB2312"/>
          <w:bCs/>
          <w:color w:val="000000"/>
          <w:kern w:val="0"/>
          <w:sz w:val="32"/>
          <w:szCs w:val="32"/>
        </w:rPr>
        <w:t>天（必要时更长时间随访点）的安全性数据。</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安全性观察内容应至少包含已上市同类疫苗临床试验中的不良反应、临床应用或文献中报告的常见不良反应、预期偶见和非预期不良反应。安全性分析内容一般包括总体不良事件、总体不良反应、局部</w:t>
      </w:r>
      <w:r w:rsidRPr="000A2825">
        <w:rPr>
          <w:rFonts w:eastAsia="仿宋_GB2312"/>
          <w:bCs/>
          <w:color w:val="000000"/>
          <w:kern w:val="0"/>
          <w:sz w:val="32"/>
          <w:szCs w:val="32"/>
        </w:rPr>
        <w:t>/</w:t>
      </w:r>
      <w:r w:rsidRPr="000A2825">
        <w:rPr>
          <w:rFonts w:eastAsia="仿宋_GB2312"/>
          <w:bCs/>
          <w:color w:val="000000"/>
          <w:kern w:val="0"/>
          <w:sz w:val="32"/>
          <w:szCs w:val="32"/>
        </w:rPr>
        <w:t>全身（接种部位</w:t>
      </w:r>
      <w:r w:rsidRPr="000A2825">
        <w:rPr>
          <w:rFonts w:eastAsia="仿宋_GB2312"/>
          <w:bCs/>
          <w:color w:val="000000"/>
          <w:kern w:val="0"/>
          <w:sz w:val="32"/>
          <w:szCs w:val="32"/>
        </w:rPr>
        <w:t>/</w:t>
      </w:r>
      <w:r w:rsidRPr="000A2825">
        <w:rPr>
          <w:rFonts w:eastAsia="仿宋_GB2312"/>
          <w:bCs/>
          <w:color w:val="000000"/>
          <w:kern w:val="0"/>
          <w:sz w:val="32"/>
          <w:szCs w:val="32"/>
        </w:rPr>
        <w:t>非接种部位）不良反应、其它不良事件（与疫苗无关的不良事件）、单个症状（体征、疾病、临床指标等）、严重不良事件等；部分疫苗还需关注特定的不良事件、非预期的严重不良反应（</w:t>
      </w:r>
      <w:r w:rsidRPr="000A2825">
        <w:rPr>
          <w:rFonts w:eastAsia="仿宋_GB2312"/>
          <w:bCs/>
          <w:color w:val="000000"/>
          <w:kern w:val="0"/>
          <w:sz w:val="32"/>
          <w:szCs w:val="32"/>
        </w:rPr>
        <w:t>SUSAR</w:t>
      </w:r>
      <w:r w:rsidRPr="000A2825">
        <w:rPr>
          <w:rFonts w:eastAsia="仿宋_GB2312"/>
          <w:bCs/>
          <w:color w:val="000000"/>
          <w:kern w:val="0"/>
          <w:sz w:val="32"/>
          <w:szCs w:val="32"/>
        </w:rPr>
        <w:t>）等。分析指标一般包括发生频率和严重程度。必要时还应按照发生时间、接种剂次、亚组人群（如特定年龄段）进行单独分析。</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可参考国内外同类疫苗安全性相关研究数据、文献或报告，密切监测和报告研究疫苗发生的</w:t>
      </w:r>
      <w:r w:rsidRPr="000A2825">
        <w:rPr>
          <w:rFonts w:eastAsia="仿宋_GB2312"/>
          <w:bCs/>
          <w:color w:val="000000"/>
          <w:kern w:val="0"/>
          <w:sz w:val="32"/>
          <w:szCs w:val="32"/>
        </w:rPr>
        <w:t>SUSAR</w:t>
      </w:r>
      <w:r w:rsidRPr="000A2825">
        <w:rPr>
          <w:rFonts w:eastAsia="仿宋_GB2312"/>
          <w:bCs/>
          <w:color w:val="000000"/>
          <w:kern w:val="0"/>
          <w:sz w:val="32"/>
          <w:szCs w:val="32"/>
        </w:rPr>
        <w:t>和潜在的安全性风险；如已有重大安全性风险警示或报告，应制</w:t>
      </w:r>
      <w:proofErr w:type="gramStart"/>
      <w:r w:rsidRPr="000A2825">
        <w:rPr>
          <w:rFonts w:eastAsia="仿宋_GB2312"/>
          <w:bCs/>
          <w:color w:val="000000"/>
          <w:kern w:val="0"/>
          <w:sz w:val="32"/>
          <w:szCs w:val="32"/>
        </w:rPr>
        <w:t>定风险</w:t>
      </w:r>
      <w:proofErr w:type="gramEnd"/>
      <w:r w:rsidRPr="000A2825">
        <w:rPr>
          <w:rFonts w:eastAsia="仿宋_GB2312"/>
          <w:bCs/>
          <w:color w:val="000000"/>
          <w:kern w:val="0"/>
          <w:sz w:val="32"/>
          <w:szCs w:val="32"/>
        </w:rPr>
        <w:t>控制计划和采取必要措施，以保护受试者安全。应按照相关要求定期汇总和分析临床试验中安全性监测资料。</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32" w:name="_Toc409439883"/>
      <w:bookmarkStart w:id="33" w:name="_Toc409439934"/>
      <w:bookmarkStart w:id="34" w:name="_Toc409439958"/>
      <w:bookmarkStart w:id="35" w:name="_Toc429319317"/>
      <w:r w:rsidRPr="000A2825">
        <w:rPr>
          <w:rFonts w:eastAsia="楷体_GB2312"/>
          <w:bCs/>
          <w:color w:val="000000"/>
          <w:kern w:val="0"/>
          <w:sz w:val="32"/>
          <w:szCs w:val="32"/>
        </w:rPr>
        <w:t>（二）批（次）间一致性</w:t>
      </w:r>
      <w:bookmarkEnd w:id="32"/>
      <w:bookmarkEnd w:id="33"/>
      <w:bookmarkEnd w:id="34"/>
      <w:bookmarkEnd w:id="35"/>
      <w:r w:rsidRPr="000A2825">
        <w:rPr>
          <w:rFonts w:eastAsia="楷体_GB2312"/>
          <w:bCs/>
          <w:color w:val="000000"/>
          <w:kern w:val="0"/>
          <w:sz w:val="32"/>
          <w:szCs w:val="32"/>
        </w:rPr>
        <w:t>临床研究</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批（次）间一致性临床研究，即采用商业化规模产品，通过人体接种后的免疫原性指标来评价试验疫苗连续批次的质量稳定及工艺可重复性，保证注册上市的疫苗质量可控。</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通常情况下，应首先使用足够批次的商业化规模生产的</w:t>
      </w:r>
      <w:r w:rsidRPr="000A2825">
        <w:rPr>
          <w:rFonts w:eastAsia="仿宋_GB2312"/>
          <w:bCs/>
          <w:color w:val="000000"/>
          <w:kern w:val="0"/>
          <w:sz w:val="32"/>
          <w:szCs w:val="32"/>
        </w:rPr>
        <w:lastRenderedPageBreak/>
        <w:t>试验疫苗，针对批次间生产工艺的一致性和质量稳定性，与临床试验用批次疫苗进行充分的药学比对研究。</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对于生产工艺变异度高、或拟上市生产产品与临床样品存在一定程度质量差异的试验疫苗，还应对试验疫苗进行多批次间一致性的临床比较研究。</w:t>
      </w:r>
      <w:proofErr w:type="gramStart"/>
      <w:r w:rsidRPr="000A2825">
        <w:rPr>
          <w:rFonts w:eastAsia="仿宋_GB2312"/>
          <w:bCs/>
          <w:color w:val="000000"/>
          <w:kern w:val="0"/>
          <w:sz w:val="32"/>
          <w:szCs w:val="32"/>
        </w:rPr>
        <w:t>批间一致性</w:t>
      </w:r>
      <w:proofErr w:type="gramEnd"/>
      <w:r w:rsidRPr="000A2825">
        <w:rPr>
          <w:rFonts w:eastAsia="仿宋_GB2312"/>
          <w:bCs/>
          <w:color w:val="000000"/>
          <w:kern w:val="0"/>
          <w:sz w:val="32"/>
          <w:szCs w:val="32"/>
        </w:rPr>
        <w:t>临床研究应包括至少连续三批商业化规模疫苗，以证明商业化规模生产的疫苗与临床试验用批次疫苗或上市对照疫苗的临床可比性，并证明各批次疫苗均能够诱导产生相同的免疫应答。</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临床一致性比较批次研究数据将为质量标准中关键检定项目的限度（如抗原含量</w:t>
      </w:r>
      <w:r w:rsidRPr="000A2825">
        <w:rPr>
          <w:rFonts w:eastAsia="仿宋_GB2312"/>
          <w:bCs/>
          <w:color w:val="000000"/>
          <w:kern w:val="0"/>
          <w:sz w:val="32"/>
          <w:szCs w:val="32"/>
        </w:rPr>
        <w:t>/</w:t>
      </w:r>
      <w:r w:rsidRPr="000A2825">
        <w:rPr>
          <w:rFonts w:eastAsia="仿宋_GB2312"/>
          <w:bCs/>
          <w:color w:val="000000"/>
          <w:kern w:val="0"/>
          <w:sz w:val="32"/>
          <w:szCs w:val="32"/>
        </w:rPr>
        <w:t>效价、病毒滴度上下限的范围等）的有效性下限和安全性上限提供支持，保证质量标准科学、合理，从而进一步保证上市疫苗安全有效，质量可控。</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免疫原性评价的指标和标准参照前述的随机对照临床试验。</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36" w:name="_Toc409439884"/>
      <w:bookmarkStart w:id="37" w:name="_Toc409439935"/>
      <w:bookmarkStart w:id="38" w:name="_Toc409439959"/>
      <w:bookmarkStart w:id="39" w:name="_Toc429319318"/>
      <w:r w:rsidRPr="000A2825">
        <w:rPr>
          <w:rFonts w:eastAsia="楷体_GB2312"/>
          <w:bCs/>
          <w:color w:val="000000"/>
          <w:kern w:val="0"/>
          <w:sz w:val="32"/>
          <w:szCs w:val="32"/>
        </w:rPr>
        <w:t>（三）生物样本检测的基本要求</w:t>
      </w:r>
      <w:bookmarkEnd w:id="36"/>
      <w:bookmarkEnd w:id="37"/>
      <w:bookmarkEnd w:id="38"/>
      <w:bookmarkEnd w:id="39"/>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为保证临床试验中免疫原性实验室检测结果</w:t>
      </w:r>
      <w:proofErr w:type="gramStart"/>
      <w:r w:rsidRPr="000A2825">
        <w:rPr>
          <w:rFonts w:eastAsia="仿宋_GB2312"/>
          <w:bCs/>
          <w:color w:val="000000"/>
          <w:kern w:val="0"/>
          <w:sz w:val="32"/>
          <w:szCs w:val="32"/>
        </w:rPr>
        <w:t>源数据</w:t>
      </w:r>
      <w:proofErr w:type="gramEnd"/>
      <w:r w:rsidRPr="000A2825">
        <w:rPr>
          <w:rFonts w:eastAsia="仿宋_GB2312"/>
          <w:bCs/>
          <w:color w:val="000000"/>
          <w:kern w:val="0"/>
          <w:sz w:val="32"/>
          <w:szCs w:val="32"/>
        </w:rPr>
        <w:t>的准确性、可重复性、可核实性和不同实验室间的可比性，生物样本检测分析的全过程应遵循临床实验室质量管理规范的相关要求。临床试验生物样本检测应采用经过方法学验证的分析技术和方法，保证有足够的能力可检出试验疫苗与对照疫苗之间可能存在的差异。</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所有实验室指标（如血清学、细胞学、病原学等）检测应按照临床试验方案确定的方法和要求在通过国家实验室认可或具备实验室资质认定的检测机构进行。应提供所有实</w:t>
      </w:r>
      <w:r w:rsidRPr="000A2825">
        <w:rPr>
          <w:rFonts w:eastAsia="仿宋_GB2312"/>
          <w:bCs/>
          <w:color w:val="000000"/>
          <w:kern w:val="0"/>
          <w:sz w:val="32"/>
          <w:szCs w:val="32"/>
        </w:rPr>
        <w:lastRenderedPageBreak/>
        <w:t>验室检测方法和分析技术的选择依据并进行方法学验证，严格执行实验室检测标准操作规程（</w:t>
      </w:r>
      <w:r w:rsidRPr="000A2825">
        <w:rPr>
          <w:rFonts w:eastAsia="仿宋_GB2312"/>
          <w:bCs/>
          <w:color w:val="000000"/>
          <w:kern w:val="0"/>
          <w:sz w:val="32"/>
          <w:szCs w:val="32"/>
        </w:rPr>
        <w:t>SOP</w:t>
      </w:r>
      <w:r w:rsidRPr="000A2825">
        <w:rPr>
          <w:rFonts w:eastAsia="仿宋_GB2312"/>
          <w:bCs/>
          <w:color w:val="000000"/>
          <w:kern w:val="0"/>
          <w:sz w:val="32"/>
          <w:szCs w:val="32"/>
        </w:rPr>
        <w:t>）和质量控制规程。具体要求可参考国家局发布的《药物临床试验生物样本分析实验室管理指南（试行）》和国内外相关指导原则。</w:t>
      </w:r>
    </w:p>
    <w:p w:rsidR="004B36CB" w:rsidRPr="000A2825" w:rsidRDefault="004B36CB" w:rsidP="004B36CB">
      <w:pPr>
        <w:spacing w:line="580" w:lineRule="exact"/>
        <w:ind w:firstLineChars="200" w:firstLine="640"/>
        <w:rPr>
          <w:rFonts w:eastAsia="黑体"/>
          <w:color w:val="000000"/>
          <w:sz w:val="32"/>
          <w:szCs w:val="32"/>
          <w:u w:color="000000"/>
        </w:rPr>
      </w:pPr>
      <w:bookmarkStart w:id="40" w:name="_Toc409439885"/>
      <w:bookmarkStart w:id="41" w:name="_Toc409439936"/>
      <w:bookmarkStart w:id="42" w:name="_Toc409439960"/>
      <w:bookmarkStart w:id="43" w:name="_Toc429319319"/>
      <w:r w:rsidRPr="000A2825">
        <w:rPr>
          <w:rFonts w:eastAsia="黑体"/>
          <w:color w:val="000000"/>
          <w:sz w:val="32"/>
          <w:szCs w:val="32"/>
          <w:u w:color="000000"/>
        </w:rPr>
        <w:t>四、临床试验设计的统计学考虑</w:t>
      </w:r>
      <w:bookmarkEnd w:id="40"/>
      <w:bookmarkEnd w:id="41"/>
      <w:bookmarkEnd w:id="42"/>
      <w:bookmarkEnd w:id="43"/>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疫苗注册申请的关键性临床试验应采用随机、对照、</w:t>
      </w:r>
      <w:proofErr w:type="gramStart"/>
      <w:r w:rsidRPr="000A2825">
        <w:rPr>
          <w:rFonts w:eastAsia="仿宋_GB2312"/>
          <w:bCs/>
          <w:color w:val="000000"/>
          <w:kern w:val="0"/>
          <w:sz w:val="32"/>
          <w:szCs w:val="32"/>
        </w:rPr>
        <w:t>盲法的</w:t>
      </w:r>
      <w:proofErr w:type="gramEnd"/>
      <w:r w:rsidRPr="000A2825">
        <w:rPr>
          <w:rFonts w:eastAsia="仿宋_GB2312"/>
          <w:bCs/>
          <w:color w:val="000000"/>
          <w:kern w:val="0"/>
          <w:sz w:val="32"/>
          <w:szCs w:val="32"/>
        </w:rPr>
        <w:t>试验设计。统计学假设检验类型和检验假设应在临床试验方案和统计分析计划中事先明确；原则上，不良事件的归因、临床终点事件（如致病病例等）的判定、免疫原性检测、统计分析计划的制订均应</w:t>
      </w:r>
      <w:proofErr w:type="gramStart"/>
      <w:r w:rsidRPr="000A2825">
        <w:rPr>
          <w:rFonts w:eastAsia="仿宋_GB2312"/>
          <w:bCs/>
          <w:color w:val="000000"/>
          <w:kern w:val="0"/>
          <w:sz w:val="32"/>
          <w:szCs w:val="32"/>
        </w:rPr>
        <w:t>在盲态下</w:t>
      </w:r>
      <w:proofErr w:type="gramEnd"/>
      <w:r w:rsidRPr="000A2825">
        <w:rPr>
          <w:rFonts w:eastAsia="仿宋_GB2312"/>
          <w:bCs/>
          <w:color w:val="000000"/>
          <w:kern w:val="0"/>
          <w:sz w:val="32"/>
          <w:szCs w:val="32"/>
        </w:rPr>
        <w:t>开展，统计分析应基于统计分析计划进行。</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疫苗临床可比性研究通常采用</w:t>
      </w:r>
      <w:proofErr w:type="gramStart"/>
      <w:r w:rsidRPr="000A2825">
        <w:rPr>
          <w:rFonts w:eastAsia="仿宋_GB2312"/>
          <w:bCs/>
          <w:color w:val="000000"/>
          <w:kern w:val="0"/>
          <w:sz w:val="32"/>
          <w:szCs w:val="32"/>
        </w:rPr>
        <w:t>非劣效性</w:t>
      </w:r>
      <w:proofErr w:type="gramEnd"/>
      <w:r w:rsidRPr="000A2825">
        <w:rPr>
          <w:rFonts w:eastAsia="仿宋_GB2312"/>
          <w:bCs/>
          <w:color w:val="000000"/>
          <w:kern w:val="0"/>
          <w:sz w:val="32"/>
          <w:szCs w:val="32"/>
        </w:rPr>
        <w:t>的试验设计，疫苗的临床批（次）间一致性评价则采用等效性检验。等效</w:t>
      </w:r>
      <w:r w:rsidRPr="000A2825">
        <w:rPr>
          <w:rFonts w:eastAsia="仿宋_GB2312"/>
          <w:bCs/>
          <w:color w:val="000000"/>
          <w:kern w:val="0"/>
          <w:sz w:val="32"/>
          <w:szCs w:val="32"/>
        </w:rPr>
        <w:t>/</w:t>
      </w:r>
      <w:proofErr w:type="gramStart"/>
      <w:r w:rsidRPr="000A2825">
        <w:rPr>
          <w:rFonts w:eastAsia="仿宋_GB2312"/>
          <w:bCs/>
          <w:color w:val="000000"/>
          <w:kern w:val="0"/>
          <w:sz w:val="32"/>
          <w:szCs w:val="32"/>
        </w:rPr>
        <w:t>非劣效性</w:t>
      </w:r>
      <w:proofErr w:type="gramEnd"/>
      <w:r w:rsidRPr="000A2825">
        <w:rPr>
          <w:rFonts w:eastAsia="仿宋_GB2312"/>
          <w:bCs/>
          <w:color w:val="000000"/>
          <w:kern w:val="0"/>
          <w:sz w:val="32"/>
          <w:szCs w:val="32"/>
        </w:rPr>
        <w:t>检验一般采用置信区间法，计算率差（绝对风险差异，</w:t>
      </w:r>
      <w:r w:rsidRPr="000A2825">
        <w:rPr>
          <w:rFonts w:eastAsia="仿宋_GB2312"/>
          <w:bCs/>
          <w:color w:val="000000"/>
          <w:kern w:val="0"/>
          <w:sz w:val="32"/>
          <w:szCs w:val="32"/>
        </w:rPr>
        <w:t>RD</w:t>
      </w:r>
      <w:r w:rsidRPr="000A2825">
        <w:rPr>
          <w:rFonts w:eastAsia="仿宋_GB2312"/>
          <w:bCs/>
          <w:color w:val="000000"/>
          <w:kern w:val="0"/>
          <w:sz w:val="32"/>
          <w:szCs w:val="32"/>
        </w:rPr>
        <w:t>）、率比（相对风险比，</w:t>
      </w:r>
      <w:r w:rsidRPr="000A2825">
        <w:rPr>
          <w:rFonts w:eastAsia="仿宋_GB2312"/>
          <w:bCs/>
          <w:color w:val="000000"/>
          <w:kern w:val="0"/>
          <w:sz w:val="32"/>
          <w:szCs w:val="32"/>
        </w:rPr>
        <w:t>RR</w:t>
      </w:r>
      <w:r w:rsidRPr="000A2825">
        <w:rPr>
          <w:rFonts w:eastAsia="仿宋_GB2312"/>
          <w:bCs/>
          <w:color w:val="000000"/>
          <w:kern w:val="0"/>
          <w:sz w:val="32"/>
          <w:szCs w:val="32"/>
        </w:rPr>
        <w:t>）或组间</w:t>
      </w:r>
      <w:r w:rsidRPr="000A2825">
        <w:rPr>
          <w:rFonts w:eastAsia="仿宋_GB2312"/>
          <w:bCs/>
          <w:color w:val="000000"/>
          <w:kern w:val="0"/>
          <w:sz w:val="32"/>
          <w:szCs w:val="32"/>
        </w:rPr>
        <w:t>GMT</w:t>
      </w:r>
      <w:r w:rsidRPr="000A2825">
        <w:rPr>
          <w:rFonts w:eastAsia="仿宋_GB2312"/>
          <w:bCs/>
          <w:color w:val="000000"/>
          <w:kern w:val="0"/>
          <w:sz w:val="32"/>
          <w:szCs w:val="32"/>
        </w:rPr>
        <w:t>（或</w:t>
      </w:r>
      <w:r w:rsidRPr="000A2825">
        <w:rPr>
          <w:rFonts w:eastAsia="仿宋_GB2312"/>
          <w:bCs/>
          <w:color w:val="000000"/>
          <w:kern w:val="0"/>
          <w:sz w:val="32"/>
          <w:szCs w:val="32"/>
        </w:rPr>
        <w:t>GMC</w:t>
      </w:r>
      <w:r w:rsidRPr="000A2825">
        <w:rPr>
          <w:rFonts w:eastAsia="仿宋_GB2312"/>
          <w:bCs/>
          <w:color w:val="000000"/>
          <w:kern w:val="0"/>
          <w:sz w:val="32"/>
          <w:szCs w:val="32"/>
        </w:rPr>
        <w:t>）比值的双侧</w:t>
      </w:r>
      <w:r w:rsidRPr="000A2825">
        <w:rPr>
          <w:rFonts w:eastAsia="仿宋_GB2312"/>
          <w:bCs/>
          <w:color w:val="000000"/>
          <w:kern w:val="0"/>
          <w:sz w:val="32"/>
          <w:szCs w:val="32"/>
        </w:rPr>
        <w:t>95%</w:t>
      </w:r>
      <w:r w:rsidRPr="000A2825">
        <w:rPr>
          <w:rFonts w:eastAsia="仿宋_GB2312"/>
          <w:bCs/>
          <w:color w:val="000000"/>
          <w:kern w:val="0"/>
          <w:sz w:val="32"/>
          <w:szCs w:val="32"/>
        </w:rPr>
        <w:t>置信区间。</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44" w:name="_Toc409439886"/>
      <w:bookmarkStart w:id="45" w:name="_Toc409439937"/>
      <w:bookmarkStart w:id="46" w:name="_Toc409439961"/>
      <w:bookmarkStart w:id="47" w:name="_Toc429319320"/>
      <w:r w:rsidRPr="000A2825">
        <w:rPr>
          <w:rFonts w:eastAsia="楷体_GB2312"/>
          <w:bCs/>
          <w:color w:val="000000"/>
          <w:kern w:val="0"/>
          <w:sz w:val="32"/>
          <w:szCs w:val="32"/>
        </w:rPr>
        <w:t>（一）免疫原性比较</w:t>
      </w:r>
      <w:bookmarkEnd w:id="44"/>
      <w:bookmarkEnd w:id="45"/>
      <w:bookmarkEnd w:id="46"/>
      <w:bookmarkEnd w:id="47"/>
      <w:r w:rsidRPr="000A2825">
        <w:rPr>
          <w:rFonts w:eastAsia="楷体_GB2312"/>
          <w:bCs/>
          <w:color w:val="000000"/>
          <w:kern w:val="0"/>
          <w:sz w:val="32"/>
          <w:szCs w:val="32"/>
        </w:rPr>
        <w:t>研究设计</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非</w:t>
      </w:r>
      <w:proofErr w:type="gramStart"/>
      <w:r w:rsidRPr="000A2825">
        <w:rPr>
          <w:rFonts w:eastAsia="仿宋_GB2312"/>
          <w:bCs/>
          <w:color w:val="000000"/>
          <w:kern w:val="0"/>
          <w:sz w:val="32"/>
          <w:szCs w:val="32"/>
        </w:rPr>
        <w:t>劣效</w:t>
      </w:r>
      <w:r w:rsidRPr="000A2825">
        <w:rPr>
          <w:rFonts w:eastAsia="仿宋_GB2312"/>
          <w:bCs/>
          <w:color w:val="000000"/>
          <w:kern w:val="0"/>
          <w:sz w:val="32"/>
          <w:szCs w:val="32"/>
        </w:rPr>
        <w:t>/</w:t>
      </w:r>
      <w:proofErr w:type="gramEnd"/>
      <w:r w:rsidRPr="000A2825">
        <w:rPr>
          <w:rFonts w:eastAsia="仿宋_GB2312"/>
          <w:bCs/>
          <w:color w:val="000000"/>
          <w:kern w:val="0"/>
          <w:sz w:val="32"/>
          <w:szCs w:val="32"/>
        </w:rPr>
        <w:t>等效界值的确定是试验设计的关键参数之一。应根据对照疫苗的既往循证医学证据由申办方、主要研究者和统计师共同商定，确定的界值应不超过临床上能接受的最大差别范围且相对保守。</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如果采用抗体阳转率作为主要评价指标，可综合分析对照疫苗既往临床研究结果对抗体阳转率进行保守估计，一般取其双侧</w:t>
      </w:r>
      <w:r w:rsidRPr="000A2825">
        <w:rPr>
          <w:rFonts w:eastAsia="仿宋_GB2312"/>
          <w:bCs/>
          <w:color w:val="000000"/>
          <w:kern w:val="0"/>
          <w:sz w:val="32"/>
          <w:szCs w:val="32"/>
        </w:rPr>
        <w:t>95%</w:t>
      </w:r>
      <w:r w:rsidRPr="000A2825">
        <w:rPr>
          <w:rFonts w:eastAsia="仿宋_GB2312"/>
          <w:bCs/>
          <w:color w:val="000000"/>
          <w:kern w:val="0"/>
          <w:sz w:val="32"/>
          <w:szCs w:val="32"/>
        </w:rPr>
        <w:t>置信区间下限的</w:t>
      </w:r>
      <w:r w:rsidRPr="000A2825">
        <w:rPr>
          <w:rFonts w:eastAsia="仿宋_GB2312"/>
          <w:bCs/>
          <w:color w:val="000000"/>
          <w:kern w:val="0"/>
          <w:sz w:val="32"/>
          <w:szCs w:val="32"/>
        </w:rPr>
        <w:t>1/20</w:t>
      </w:r>
      <w:r w:rsidRPr="000A2825">
        <w:rPr>
          <w:rFonts w:eastAsia="仿宋_GB2312"/>
          <w:bCs/>
          <w:color w:val="000000"/>
          <w:kern w:val="0"/>
          <w:sz w:val="32"/>
          <w:szCs w:val="32"/>
        </w:rPr>
        <w:t>至</w:t>
      </w:r>
      <w:r w:rsidRPr="000A2825">
        <w:rPr>
          <w:rFonts w:eastAsia="仿宋_GB2312"/>
          <w:bCs/>
          <w:color w:val="000000"/>
          <w:kern w:val="0"/>
          <w:sz w:val="32"/>
          <w:szCs w:val="32"/>
        </w:rPr>
        <w:t>1/10</w:t>
      </w:r>
      <w:r w:rsidRPr="000A2825">
        <w:rPr>
          <w:rFonts w:eastAsia="仿宋_GB2312"/>
          <w:bCs/>
          <w:color w:val="000000"/>
          <w:kern w:val="0"/>
          <w:sz w:val="32"/>
          <w:szCs w:val="32"/>
        </w:rPr>
        <w:t>作为率差的等效</w:t>
      </w:r>
      <w:r w:rsidRPr="000A2825">
        <w:rPr>
          <w:rFonts w:eastAsia="仿宋_GB2312"/>
          <w:bCs/>
          <w:color w:val="000000"/>
          <w:kern w:val="0"/>
          <w:sz w:val="32"/>
          <w:szCs w:val="32"/>
        </w:rPr>
        <w:t>/</w:t>
      </w:r>
      <w:r w:rsidRPr="000A2825">
        <w:rPr>
          <w:rFonts w:eastAsia="仿宋_GB2312"/>
          <w:bCs/>
          <w:color w:val="000000"/>
          <w:kern w:val="0"/>
          <w:sz w:val="32"/>
          <w:szCs w:val="32"/>
        </w:rPr>
        <w:lastRenderedPageBreak/>
        <w:t>非</w:t>
      </w:r>
      <w:proofErr w:type="gramStart"/>
      <w:r w:rsidRPr="000A2825">
        <w:rPr>
          <w:rFonts w:eastAsia="仿宋_GB2312"/>
          <w:bCs/>
          <w:color w:val="000000"/>
          <w:kern w:val="0"/>
          <w:sz w:val="32"/>
          <w:szCs w:val="32"/>
        </w:rPr>
        <w:t>劣效界</w:t>
      </w:r>
      <w:proofErr w:type="gramEnd"/>
      <w:r w:rsidRPr="000A2825">
        <w:rPr>
          <w:rFonts w:eastAsia="仿宋_GB2312"/>
          <w:bCs/>
          <w:color w:val="000000"/>
          <w:kern w:val="0"/>
          <w:sz w:val="32"/>
          <w:szCs w:val="32"/>
        </w:rPr>
        <w:t>值。若采用率比法，抗体阳转率</w:t>
      </w:r>
      <w:proofErr w:type="gramStart"/>
      <w:r w:rsidRPr="000A2825">
        <w:rPr>
          <w:rFonts w:eastAsia="仿宋_GB2312"/>
          <w:bCs/>
          <w:color w:val="000000"/>
          <w:kern w:val="0"/>
          <w:sz w:val="32"/>
          <w:szCs w:val="32"/>
        </w:rPr>
        <w:t>率</w:t>
      </w:r>
      <w:proofErr w:type="gramEnd"/>
      <w:r w:rsidRPr="000A2825">
        <w:rPr>
          <w:rFonts w:eastAsia="仿宋_GB2312"/>
          <w:bCs/>
          <w:color w:val="000000"/>
          <w:kern w:val="0"/>
          <w:sz w:val="32"/>
          <w:szCs w:val="32"/>
        </w:rPr>
        <w:t>比（试验疫苗</w:t>
      </w:r>
      <w:r w:rsidRPr="000A2825">
        <w:rPr>
          <w:rFonts w:eastAsia="仿宋_GB2312"/>
          <w:bCs/>
          <w:color w:val="000000"/>
          <w:kern w:val="0"/>
          <w:sz w:val="32"/>
          <w:szCs w:val="32"/>
        </w:rPr>
        <w:t>/</w:t>
      </w:r>
      <w:r w:rsidRPr="000A2825">
        <w:rPr>
          <w:rFonts w:eastAsia="仿宋_GB2312"/>
          <w:bCs/>
          <w:color w:val="000000"/>
          <w:kern w:val="0"/>
          <w:sz w:val="32"/>
          <w:szCs w:val="32"/>
        </w:rPr>
        <w:t>对照疫苗）的双侧</w:t>
      </w:r>
      <w:r w:rsidRPr="000A2825">
        <w:rPr>
          <w:rFonts w:eastAsia="仿宋_GB2312"/>
          <w:bCs/>
          <w:color w:val="000000"/>
          <w:kern w:val="0"/>
          <w:sz w:val="32"/>
          <w:szCs w:val="32"/>
        </w:rPr>
        <w:t>95%</w:t>
      </w:r>
      <w:r w:rsidRPr="000A2825">
        <w:rPr>
          <w:rFonts w:eastAsia="仿宋_GB2312"/>
          <w:bCs/>
          <w:color w:val="000000"/>
          <w:kern w:val="0"/>
          <w:sz w:val="32"/>
          <w:szCs w:val="32"/>
        </w:rPr>
        <w:t>置信区间（等效区间）应包含在（</w:t>
      </w:r>
      <w:r w:rsidRPr="000A2825">
        <w:rPr>
          <w:rFonts w:eastAsia="仿宋_GB2312"/>
          <w:bCs/>
          <w:color w:val="000000"/>
          <w:kern w:val="0"/>
          <w:sz w:val="32"/>
          <w:szCs w:val="32"/>
        </w:rPr>
        <w:t>0.8,1.25</w:t>
      </w:r>
      <w:r w:rsidRPr="000A2825">
        <w:rPr>
          <w:rFonts w:eastAsia="仿宋_GB2312"/>
          <w:bCs/>
          <w:color w:val="000000"/>
          <w:kern w:val="0"/>
          <w:sz w:val="32"/>
          <w:szCs w:val="32"/>
        </w:rPr>
        <w:t>）内；抗体阳转率</w:t>
      </w:r>
      <w:proofErr w:type="gramStart"/>
      <w:r w:rsidRPr="000A2825">
        <w:rPr>
          <w:rFonts w:eastAsia="仿宋_GB2312"/>
          <w:bCs/>
          <w:color w:val="000000"/>
          <w:kern w:val="0"/>
          <w:sz w:val="32"/>
          <w:szCs w:val="32"/>
        </w:rPr>
        <w:t>率</w:t>
      </w:r>
      <w:proofErr w:type="gramEnd"/>
      <w:r w:rsidRPr="000A2825">
        <w:rPr>
          <w:rFonts w:eastAsia="仿宋_GB2312"/>
          <w:bCs/>
          <w:color w:val="000000"/>
          <w:kern w:val="0"/>
          <w:sz w:val="32"/>
          <w:szCs w:val="32"/>
        </w:rPr>
        <w:t>比（试验疫苗</w:t>
      </w:r>
      <w:r w:rsidRPr="000A2825">
        <w:rPr>
          <w:rFonts w:eastAsia="仿宋_GB2312"/>
          <w:bCs/>
          <w:color w:val="000000"/>
          <w:kern w:val="0"/>
          <w:sz w:val="32"/>
          <w:szCs w:val="32"/>
        </w:rPr>
        <w:t>/</w:t>
      </w:r>
      <w:r w:rsidRPr="000A2825">
        <w:rPr>
          <w:rFonts w:eastAsia="仿宋_GB2312"/>
          <w:bCs/>
          <w:color w:val="000000"/>
          <w:kern w:val="0"/>
          <w:sz w:val="32"/>
          <w:szCs w:val="32"/>
        </w:rPr>
        <w:t>对照疫苗）的单侧</w:t>
      </w:r>
      <w:r w:rsidRPr="000A2825">
        <w:rPr>
          <w:rFonts w:eastAsia="仿宋_GB2312"/>
          <w:bCs/>
          <w:color w:val="000000"/>
          <w:kern w:val="0"/>
          <w:sz w:val="32"/>
          <w:szCs w:val="32"/>
        </w:rPr>
        <w:t>97.5%</w:t>
      </w:r>
      <w:r w:rsidRPr="000A2825">
        <w:rPr>
          <w:rFonts w:eastAsia="仿宋_GB2312"/>
          <w:bCs/>
          <w:color w:val="000000"/>
          <w:kern w:val="0"/>
          <w:sz w:val="32"/>
          <w:szCs w:val="32"/>
        </w:rPr>
        <w:t>置信区间（非劣</w:t>
      </w:r>
      <w:proofErr w:type="gramStart"/>
      <w:r w:rsidRPr="000A2825">
        <w:rPr>
          <w:rFonts w:eastAsia="仿宋_GB2312"/>
          <w:bCs/>
          <w:color w:val="000000"/>
          <w:kern w:val="0"/>
          <w:sz w:val="32"/>
          <w:szCs w:val="32"/>
        </w:rPr>
        <w:t>效区</w:t>
      </w:r>
      <w:proofErr w:type="gramEnd"/>
      <w:r w:rsidRPr="000A2825">
        <w:rPr>
          <w:rFonts w:eastAsia="仿宋_GB2312"/>
          <w:bCs/>
          <w:color w:val="000000"/>
          <w:kern w:val="0"/>
          <w:sz w:val="32"/>
          <w:szCs w:val="32"/>
        </w:rPr>
        <w:t>间）下限应不低于</w:t>
      </w:r>
      <w:r w:rsidRPr="000A2825">
        <w:rPr>
          <w:rFonts w:eastAsia="仿宋_GB2312"/>
          <w:bCs/>
          <w:color w:val="000000"/>
          <w:kern w:val="0"/>
          <w:sz w:val="32"/>
          <w:szCs w:val="32"/>
        </w:rPr>
        <w:t>0.8</w:t>
      </w:r>
      <w:r w:rsidRPr="000A2825">
        <w:rPr>
          <w:rFonts w:eastAsia="仿宋_GB2312"/>
          <w:bCs/>
          <w:color w:val="000000"/>
          <w:kern w:val="0"/>
          <w:sz w:val="32"/>
          <w:szCs w:val="32"/>
        </w:rPr>
        <w:t>。</w:t>
      </w:r>
    </w:p>
    <w:p w:rsidR="004B36CB" w:rsidRPr="000A2825" w:rsidRDefault="004B36CB" w:rsidP="004B36CB">
      <w:pPr>
        <w:spacing w:line="580" w:lineRule="exact"/>
        <w:ind w:firstLineChars="200" w:firstLine="640"/>
        <w:rPr>
          <w:rFonts w:eastAsia="仿宋_GB2312"/>
          <w:bCs/>
          <w:color w:val="000000"/>
          <w:spacing w:val="2"/>
          <w:kern w:val="0"/>
          <w:sz w:val="32"/>
          <w:szCs w:val="32"/>
        </w:rPr>
      </w:pPr>
      <w:r w:rsidRPr="000A2825">
        <w:rPr>
          <w:rFonts w:eastAsia="仿宋_GB2312"/>
          <w:bCs/>
          <w:color w:val="000000"/>
          <w:kern w:val="0"/>
          <w:sz w:val="32"/>
          <w:szCs w:val="32"/>
        </w:rPr>
        <w:t>如果</w:t>
      </w:r>
      <w:r w:rsidRPr="000A2825">
        <w:rPr>
          <w:rFonts w:eastAsia="仿宋_GB2312"/>
          <w:bCs/>
          <w:color w:val="000000"/>
          <w:spacing w:val="2"/>
          <w:kern w:val="0"/>
          <w:sz w:val="32"/>
          <w:szCs w:val="32"/>
        </w:rPr>
        <w:t>采用</w:t>
      </w:r>
      <w:r w:rsidRPr="000A2825">
        <w:rPr>
          <w:rFonts w:eastAsia="仿宋_GB2312"/>
          <w:bCs/>
          <w:color w:val="000000"/>
          <w:spacing w:val="2"/>
          <w:kern w:val="0"/>
          <w:sz w:val="32"/>
          <w:szCs w:val="32"/>
        </w:rPr>
        <w:t>GMT</w:t>
      </w:r>
      <w:r w:rsidRPr="000A2825">
        <w:rPr>
          <w:rFonts w:eastAsia="仿宋_GB2312"/>
          <w:bCs/>
          <w:color w:val="000000"/>
          <w:spacing w:val="2"/>
          <w:kern w:val="0"/>
          <w:sz w:val="32"/>
          <w:szCs w:val="32"/>
        </w:rPr>
        <w:t>（或</w:t>
      </w:r>
      <w:r w:rsidRPr="000A2825">
        <w:rPr>
          <w:rFonts w:eastAsia="仿宋_GB2312"/>
          <w:bCs/>
          <w:color w:val="000000"/>
          <w:spacing w:val="2"/>
          <w:kern w:val="0"/>
          <w:sz w:val="32"/>
          <w:szCs w:val="32"/>
        </w:rPr>
        <w:t>GMC</w:t>
      </w:r>
      <w:r w:rsidRPr="000A2825">
        <w:rPr>
          <w:rFonts w:eastAsia="仿宋_GB2312"/>
          <w:bCs/>
          <w:color w:val="000000"/>
          <w:spacing w:val="2"/>
          <w:kern w:val="0"/>
          <w:sz w:val="32"/>
          <w:szCs w:val="32"/>
        </w:rPr>
        <w:t>）作为主要评价指标，一般试验疫苗</w:t>
      </w:r>
      <w:r w:rsidRPr="000A2825">
        <w:rPr>
          <w:rFonts w:eastAsia="仿宋_GB2312"/>
          <w:bCs/>
          <w:color w:val="000000"/>
          <w:spacing w:val="2"/>
          <w:kern w:val="0"/>
          <w:sz w:val="32"/>
          <w:szCs w:val="32"/>
        </w:rPr>
        <w:t>/</w:t>
      </w:r>
      <w:r w:rsidRPr="000A2825">
        <w:rPr>
          <w:rFonts w:eastAsia="仿宋_GB2312"/>
          <w:bCs/>
          <w:color w:val="000000"/>
          <w:spacing w:val="2"/>
          <w:kern w:val="0"/>
          <w:sz w:val="32"/>
          <w:szCs w:val="32"/>
        </w:rPr>
        <w:t>对照疫苗</w:t>
      </w:r>
      <w:r w:rsidRPr="000A2825">
        <w:rPr>
          <w:rFonts w:eastAsia="仿宋_GB2312"/>
          <w:bCs/>
          <w:color w:val="000000"/>
          <w:spacing w:val="2"/>
          <w:kern w:val="0"/>
          <w:sz w:val="32"/>
          <w:szCs w:val="32"/>
        </w:rPr>
        <w:t>GMT</w:t>
      </w:r>
      <w:r w:rsidRPr="000A2825">
        <w:rPr>
          <w:rFonts w:eastAsia="仿宋_GB2312"/>
          <w:bCs/>
          <w:color w:val="000000"/>
          <w:spacing w:val="2"/>
          <w:kern w:val="0"/>
          <w:sz w:val="32"/>
          <w:szCs w:val="32"/>
        </w:rPr>
        <w:t>或</w:t>
      </w:r>
      <w:r w:rsidRPr="000A2825">
        <w:rPr>
          <w:rFonts w:eastAsia="仿宋_GB2312"/>
          <w:bCs/>
          <w:color w:val="000000"/>
          <w:spacing w:val="2"/>
          <w:kern w:val="0"/>
          <w:sz w:val="32"/>
          <w:szCs w:val="32"/>
        </w:rPr>
        <w:t>GMC</w:t>
      </w:r>
      <w:r w:rsidRPr="000A2825">
        <w:rPr>
          <w:rFonts w:eastAsia="仿宋_GB2312"/>
          <w:bCs/>
          <w:color w:val="000000"/>
          <w:spacing w:val="2"/>
          <w:kern w:val="0"/>
          <w:sz w:val="32"/>
          <w:szCs w:val="32"/>
        </w:rPr>
        <w:t>比值的双侧</w:t>
      </w:r>
      <w:r w:rsidRPr="000A2825">
        <w:rPr>
          <w:rFonts w:eastAsia="仿宋_GB2312"/>
          <w:bCs/>
          <w:color w:val="000000"/>
          <w:spacing w:val="2"/>
          <w:kern w:val="0"/>
          <w:sz w:val="32"/>
          <w:szCs w:val="32"/>
        </w:rPr>
        <w:t>95%</w:t>
      </w:r>
      <w:r w:rsidRPr="000A2825">
        <w:rPr>
          <w:rFonts w:eastAsia="仿宋_GB2312"/>
          <w:bCs/>
          <w:color w:val="000000"/>
          <w:spacing w:val="2"/>
          <w:kern w:val="0"/>
          <w:sz w:val="32"/>
          <w:szCs w:val="32"/>
        </w:rPr>
        <w:t>置信区间下限（等效区间）应包含在（</w:t>
      </w:r>
      <w:r w:rsidRPr="000A2825">
        <w:rPr>
          <w:rFonts w:eastAsia="仿宋_GB2312"/>
          <w:bCs/>
          <w:color w:val="000000"/>
          <w:spacing w:val="2"/>
          <w:kern w:val="0"/>
          <w:sz w:val="32"/>
          <w:szCs w:val="32"/>
        </w:rPr>
        <w:t>0.67,1.5</w:t>
      </w:r>
      <w:r w:rsidRPr="000A2825">
        <w:rPr>
          <w:rFonts w:eastAsia="仿宋_GB2312"/>
          <w:bCs/>
          <w:color w:val="000000"/>
          <w:spacing w:val="2"/>
          <w:kern w:val="0"/>
          <w:sz w:val="32"/>
          <w:szCs w:val="32"/>
        </w:rPr>
        <w:t>）内；试验疫苗</w:t>
      </w:r>
      <w:r w:rsidRPr="000A2825">
        <w:rPr>
          <w:rFonts w:eastAsia="仿宋_GB2312"/>
          <w:bCs/>
          <w:color w:val="000000"/>
          <w:spacing w:val="2"/>
          <w:kern w:val="0"/>
          <w:sz w:val="32"/>
          <w:szCs w:val="32"/>
        </w:rPr>
        <w:t>/</w:t>
      </w:r>
      <w:r w:rsidRPr="000A2825">
        <w:rPr>
          <w:rFonts w:eastAsia="仿宋_GB2312"/>
          <w:bCs/>
          <w:color w:val="000000"/>
          <w:spacing w:val="2"/>
          <w:kern w:val="0"/>
          <w:sz w:val="32"/>
          <w:szCs w:val="32"/>
        </w:rPr>
        <w:t>对照疫苗</w:t>
      </w:r>
      <w:r w:rsidRPr="000A2825">
        <w:rPr>
          <w:rFonts w:eastAsia="仿宋_GB2312"/>
          <w:bCs/>
          <w:color w:val="000000"/>
          <w:spacing w:val="2"/>
          <w:kern w:val="0"/>
          <w:sz w:val="32"/>
          <w:szCs w:val="32"/>
        </w:rPr>
        <w:t>GMT</w:t>
      </w:r>
      <w:r w:rsidRPr="000A2825">
        <w:rPr>
          <w:rFonts w:eastAsia="仿宋_GB2312"/>
          <w:bCs/>
          <w:color w:val="000000"/>
          <w:spacing w:val="2"/>
          <w:kern w:val="0"/>
          <w:sz w:val="32"/>
          <w:szCs w:val="32"/>
        </w:rPr>
        <w:t>或</w:t>
      </w:r>
      <w:r w:rsidRPr="000A2825">
        <w:rPr>
          <w:rFonts w:eastAsia="仿宋_GB2312"/>
          <w:bCs/>
          <w:color w:val="000000"/>
          <w:spacing w:val="2"/>
          <w:kern w:val="0"/>
          <w:sz w:val="32"/>
          <w:szCs w:val="32"/>
        </w:rPr>
        <w:t>GMC</w:t>
      </w:r>
      <w:r w:rsidRPr="000A2825">
        <w:rPr>
          <w:rFonts w:eastAsia="仿宋_GB2312"/>
          <w:bCs/>
          <w:color w:val="000000"/>
          <w:spacing w:val="2"/>
          <w:kern w:val="0"/>
          <w:sz w:val="32"/>
          <w:szCs w:val="32"/>
        </w:rPr>
        <w:t>比值的单侧</w:t>
      </w:r>
      <w:r w:rsidRPr="000A2825">
        <w:rPr>
          <w:rFonts w:eastAsia="仿宋_GB2312"/>
          <w:bCs/>
          <w:color w:val="000000"/>
          <w:spacing w:val="2"/>
          <w:kern w:val="0"/>
          <w:sz w:val="32"/>
          <w:szCs w:val="32"/>
        </w:rPr>
        <w:t>97.5%</w:t>
      </w:r>
      <w:r w:rsidRPr="000A2825">
        <w:rPr>
          <w:rFonts w:eastAsia="仿宋_GB2312"/>
          <w:bCs/>
          <w:color w:val="000000"/>
          <w:spacing w:val="2"/>
          <w:kern w:val="0"/>
          <w:sz w:val="32"/>
          <w:szCs w:val="32"/>
        </w:rPr>
        <w:t>置信区间下限（非劣</w:t>
      </w:r>
      <w:proofErr w:type="gramStart"/>
      <w:r w:rsidRPr="000A2825">
        <w:rPr>
          <w:rFonts w:eastAsia="仿宋_GB2312"/>
          <w:bCs/>
          <w:color w:val="000000"/>
          <w:spacing w:val="2"/>
          <w:kern w:val="0"/>
          <w:sz w:val="32"/>
          <w:szCs w:val="32"/>
        </w:rPr>
        <w:t>效区</w:t>
      </w:r>
      <w:proofErr w:type="gramEnd"/>
      <w:r w:rsidRPr="000A2825">
        <w:rPr>
          <w:rFonts w:eastAsia="仿宋_GB2312"/>
          <w:bCs/>
          <w:color w:val="000000"/>
          <w:spacing w:val="2"/>
          <w:kern w:val="0"/>
          <w:sz w:val="32"/>
          <w:szCs w:val="32"/>
        </w:rPr>
        <w:t>间）应不低于</w:t>
      </w:r>
      <w:r w:rsidRPr="000A2825">
        <w:rPr>
          <w:rFonts w:eastAsia="仿宋_GB2312"/>
          <w:bCs/>
          <w:color w:val="000000"/>
          <w:spacing w:val="2"/>
          <w:kern w:val="0"/>
          <w:sz w:val="32"/>
          <w:szCs w:val="32"/>
        </w:rPr>
        <w:t>0.67</w:t>
      </w:r>
      <w:r w:rsidRPr="000A2825">
        <w:rPr>
          <w:rFonts w:eastAsia="仿宋_GB2312"/>
          <w:bCs/>
          <w:color w:val="000000"/>
          <w:spacing w:val="2"/>
          <w:kern w:val="0"/>
          <w:sz w:val="32"/>
          <w:szCs w:val="32"/>
        </w:rPr>
        <w:t>。</w:t>
      </w:r>
    </w:p>
    <w:p w:rsidR="004B36CB" w:rsidRPr="000A2825" w:rsidRDefault="004B36CB" w:rsidP="004B36CB">
      <w:pPr>
        <w:spacing w:line="580" w:lineRule="exact"/>
        <w:ind w:firstLineChars="200" w:firstLine="640"/>
        <w:rPr>
          <w:rFonts w:eastAsia="仿宋_GB2312"/>
          <w:bCs/>
          <w:color w:val="000000"/>
          <w:kern w:val="0"/>
          <w:sz w:val="32"/>
          <w:szCs w:val="32"/>
        </w:rPr>
      </w:pPr>
      <w:proofErr w:type="gramStart"/>
      <w:r w:rsidRPr="000A2825">
        <w:rPr>
          <w:rFonts w:eastAsia="仿宋_GB2312"/>
          <w:bCs/>
          <w:color w:val="000000"/>
          <w:kern w:val="0"/>
          <w:sz w:val="32"/>
          <w:szCs w:val="32"/>
        </w:rPr>
        <w:t>若试验</w:t>
      </w:r>
      <w:proofErr w:type="gramEnd"/>
      <w:r w:rsidRPr="000A2825">
        <w:rPr>
          <w:rFonts w:eastAsia="仿宋_GB2312"/>
          <w:bCs/>
          <w:color w:val="000000"/>
          <w:kern w:val="0"/>
          <w:sz w:val="32"/>
          <w:szCs w:val="32"/>
        </w:rPr>
        <w:t>中涉及多个主要研究终点（如多价疫苗的临床试验等），试验设计时应根据检验假设考虑是否对统计学</w:t>
      </w:r>
      <w:r w:rsidRPr="000A2825">
        <w:rPr>
          <w:rFonts w:ascii="宋体" w:hAnsi="宋体" w:cs="宋体" w:hint="eastAsia"/>
          <w:bCs/>
          <w:color w:val="000000"/>
          <w:kern w:val="0"/>
          <w:sz w:val="32"/>
          <w:szCs w:val="32"/>
        </w:rPr>
        <w:t>Ⅰ</w:t>
      </w:r>
      <w:r w:rsidRPr="000A2825">
        <w:rPr>
          <w:rFonts w:eastAsia="仿宋_GB2312"/>
          <w:bCs/>
          <w:color w:val="000000"/>
          <w:kern w:val="0"/>
          <w:sz w:val="32"/>
          <w:szCs w:val="32"/>
        </w:rPr>
        <w:t>类错误进行调整。对于多价疫苗，等效</w:t>
      </w:r>
      <w:r w:rsidRPr="000A2825">
        <w:rPr>
          <w:rFonts w:eastAsia="仿宋_GB2312"/>
          <w:bCs/>
          <w:color w:val="000000"/>
          <w:kern w:val="0"/>
          <w:sz w:val="32"/>
          <w:szCs w:val="32"/>
        </w:rPr>
        <w:t>/</w:t>
      </w:r>
      <w:r w:rsidRPr="000A2825">
        <w:rPr>
          <w:rFonts w:eastAsia="仿宋_GB2312"/>
          <w:bCs/>
          <w:color w:val="000000"/>
          <w:kern w:val="0"/>
          <w:sz w:val="32"/>
          <w:szCs w:val="32"/>
        </w:rPr>
        <w:t>非</w:t>
      </w:r>
      <w:proofErr w:type="gramStart"/>
      <w:r w:rsidRPr="000A2825">
        <w:rPr>
          <w:rFonts w:eastAsia="仿宋_GB2312"/>
          <w:bCs/>
          <w:color w:val="000000"/>
          <w:kern w:val="0"/>
          <w:sz w:val="32"/>
          <w:szCs w:val="32"/>
        </w:rPr>
        <w:t>劣效界</w:t>
      </w:r>
      <w:proofErr w:type="gramEnd"/>
      <w:r w:rsidRPr="000A2825">
        <w:rPr>
          <w:rFonts w:eastAsia="仿宋_GB2312"/>
          <w:bCs/>
          <w:color w:val="000000"/>
          <w:kern w:val="0"/>
          <w:sz w:val="32"/>
          <w:szCs w:val="32"/>
        </w:rPr>
        <w:t>值可在遵循保守原则的基础上适度放宽，可采用（</w:t>
      </w:r>
      <w:r w:rsidRPr="000A2825">
        <w:rPr>
          <w:rFonts w:eastAsia="仿宋_GB2312"/>
          <w:bCs/>
          <w:color w:val="000000"/>
          <w:kern w:val="0"/>
          <w:sz w:val="32"/>
          <w:szCs w:val="32"/>
        </w:rPr>
        <w:t>0.5</w:t>
      </w:r>
      <w:r w:rsidRPr="000A2825">
        <w:rPr>
          <w:rFonts w:eastAsia="仿宋_GB2312"/>
          <w:bCs/>
          <w:color w:val="000000"/>
          <w:kern w:val="0"/>
          <w:sz w:val="32"/>
          <w:szCs w:val="32"/>
        </w:rPr>
        <w:t>，</w:t>
      </w:r>
      <w:r w:rsidRPr="000A2825">
        <w:rPr>
          <w:rFonts w:eastAsia="仿宋_GB2312"/>
          <w:bCs/>
          <w:color w:val="000000"/>
          <w:kern w:val="0"/>
          <w:sz w:val="32"/>
          <w:szCs w:val="32"/>
        </w:rPr>
        <w:t>2</w:t>
      </w:r>
      <w:r w:rsidRPr="000A2825">
        <w:rPr>
          <w:rFonts w:eastAsia="仿宋_GB2312"/>
          <w:bCs/>
          <w:color w:val="000000"/>
          <w:kern w:val="0"/>
          <w:sz w:val="32"/>
          <w:szCs w:val="32"/>
        </w:rPr>
        <w:t>）。</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48" w:name="_Toc409439888"/>
      <w:bookmarkStart w:id="49" w:name="_Toc409439939"/>
      <w:bookmarkStart w:id="50" w:name="_Toc409439963"/>
      <w:bookmarkStart w:id="51" w:name="_Toc429319322"/>
      <w:r w:rsidRPr="000A2825">
        <w:rPr>
          <w:rFonts w:eastAsia="楷体_GB2312"/>
          <w:bCs/>
          <w:color w:val="000000"/>
          <w:kern w:val="0"/>
          <w:sz w:val="32"/>
          <w:szCs w:val="32"/>
        </w:rPr>
        <w:t>（二）</w:t>
      </w:r>
      <w:proofErr w:type="gramStart"/>
      <w:r w:rsidRPr="000A2825">
        <w:rPr>
          <w:rFonts w:eastAsia="楷体_GB2312"/>
          <w:bCs/>
          <w:color w:val="000000"/>
          <w:kern w:val="0"/>
          <w:sz w:val="32"/>
          <w:szCs w:val="32"/>
        </w:rPr>
        <w:t>批间一致性</w:t>
      </w:r>
      <w:bookmarkEnd w:id="48"/>
      <w:bookmarkEnd w:id="49"/>
      <w:bookmarkEnd w:id="50"/>
      <w:bookmarkEnd w:id="51"/>
      <w:proofErr w:type="gramEnd"/>
      <w:r w:rsidRPr="000A2825">
        <w:rPr>
          <w:rFonts w:eastAsia="楷体_GB2312"/>
          <w:bCs/>
          <w:color w:val="000000"/>
          <w:kern w:val="0"/>
          <w:sz w:val="32"/>
          <w:szCs w:val="32"/>
        </w:rPr>
        <w:t>临床研究设计</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疫苗批（次）间一致性临床研究通常应对各批次试验疫苗的免疫原性两两比较，其结果应达到等效标准，即批次间的差别在临床可以接受的范围（等效界值）内。一般要求</w:t>
      </w:r>
      <w:proofErr w:type="gramStart"/>
      <w:r w:rsidRPr="000A2825">
        <w:rPr>
          <w:rFonts w:eastAsia="仿宋_GB2312"/>
          <w:bCs/>
          <w:color w:val="000000"/>
          <w:kern w:val="0"/>
          <w:sz w:val="32"/>
          <w:szCs w:val="32"/>
        </w:rPr>
        <w:t>各批间</w:t>
      </w:r>
      <w:proofErr w:type="gramEnd"/>
      <w:r w:rsidRPr="000A2825">
        <w:rPr>
          <w:rFonts w:eastAsia="仿宋_GB2312"/>
          <w:bCs/>
          <w:color w:val="000000"/>
          <w:kern w:val="0"/>
          <w:sz w:val="32"/>
          <w:szCs w:val="32"/>
        </w:rPr>
        <w:t>GMT</w:t>
      </w:r>
      <w:r w:rsidRPr="000A2825">
        <w:rPr>
          <w:rFonts w:eastAsia="仿宋_GB2312"/>
          <w:bCs/>
          <w:color w:val="000000"/>
          <w:kern w:val="0"/>
          <w:sz w:val="32"/>
          <w:szCs w:val="32"/>
        </w:rPr>
        <w:t>或</w:t>
      </w:r>
      <w:r w:rsidRPr="000A2825">
        <w:rPr>
          <w:rFonts w:eastAsia="仿宋_GB2312"/>
          <w:bCs/>
          <w:color w:val="000000"/>
          <w:kern w:val="0"/>
          <w:sz w:val="32"/>
          <w:szCs w:val="32"/>
        </w:rPr>
        <w:t>GMC</w:t>
      </w:r>
      <w:r w:rsidRPr="000A2825">
        <w:rPr>
          <w:rFonts w:eastAsia="仿宋_GB2312"/>
          <w:bCs/>
          <w:color w:val="000000"/>
          <w:kern w:val="0"/>
          <w:sz w:val="32"/>
          <w:szCs w:val="32"/>
        </w:rPr>
        <w:t>比值的</w:t>
      </w:r>
      <w:r w:rsidRPr="000A2825">
        <w:rPr>
          <w:rFonts w:eastAsia="仿宋_GB2312"/>
          <w:bCs/>
          <w:color w:val="000000"/>
          <w:kern w:val="0"/>
          <w:sz w:val="32"/>
          <w:szCs w:val="32"/>
        </w:rPr>
        <w:t>95%</w:t>
      </w:r>
      <w:r w:rsidRPr="000A2825">
        <w:rPr>
          <w:rFonts w:eastAsia="仿宋_GB2312"/>
          <w:bCs/>
          <w:color w:val="000000"/>
          <w:kern w:val="0"/>
          <w:sz w:val="32"/>
          <w:szCs w:val="32"/>
        </w:rPr>
        <w:t>置信区间落在（</w:t>
      </w:r>
      <w:r w:rsidRPr="000A2825">
        <w:rPr>
          <w:rFonts w:eastAsia="仿宋_GB2312"/>
          <w:bCs/>
          <w:color w:val="000000"/>
          <w:kern w:val="0"/>
          <w:sz w:val="32"/>
          <w:szCs w:val="32"/>
        </w:rPr>
        <w:t>1/Δ</w:t>
      </w:r>
      <w:r w:rsidRPr="000A2825">
        <w:rPr>
          <w:rFonts w:eastAsia="仿宋_GB2312"/>
          <w:bCs/>
          <w:color w:val="000000"/>
          <w:kern w:val="0"/>
          <w:sz w:val="32"/>
          <w:szCs w:val="32"/>
        </w:rPr>
        <w:t>，</w:t>
      </w:r>
      <w:r w:rsidRPr="000A2825">
        <w:rPr>
          <w:rFonts w:eastAsia="仿宋_GB2312"/>
          <w:bCs/>
          <w:color w:val="000000"/>
          <w:kern w:val="0"/>
          <w:sz w:val="32"/>
          <w:szCs w:val="32"/>
        </w:rPr>
        <w:t>Δ</w:t>
      </w:r>
      <w:r w:rsidRPr="000A2825">
        <w:rPr>
          <w:rFonts w:eastAsia="仿宋_GB2312"/>
          <w:bCs/>
          <w:color w:val="000000"/>
          <w:kern w:val="0"/>
          <w:sz w:val="32"/>
          <w:szCs w:val="32"/>
        </w:rPr>
        <w:t>）等效界值范围内（</w:t>
      </w:r>
      <w:r w:rsidRPr="000A2825">
        <w:rPr>
          <w:rFonts w:eastAsia="仿宋_GB2312"/>
          <w:bCs/>
          <w:color w:val="000000"/>
          <w:kern w:val="0"/>
          <w:sz w:val="32"/>
          <w:szCs w:val="32"/>
        </w:rPr>
        <w:t>Δ</w:t>
      </w:r>
      <w:r w:rsidRPr="000A2825">
        <w:rPr>
          <w:rFonts w:eastAsia="仿宋_GB2312"/>
          <w:bCs/>
          <w:color w:val="000000"/>
          <w:kern w:val="0"/>
          <w:sz w:val="32"/>
          <w:szCs w:val="32"/>
        </w:rPr>
        <w:t>主要为</w:t>
      </w:r>
      <w:r w:rsidRPr="000A2825">
        <w:rPr>
          <w:rFonts w:eastAsia="仿宋_GB2312"/>
          <w:bCs/>
          <w:color w:val="000000"/>
          <w:kern w:val="0"/>
          <w:sz w:val="32"/>
          <w:szCs w:val="32"/>
        </w:rPr>
        <w:t>GMT</w:t>
      </w:r>
      <w:r w:rsidRPr="000A2825">
        <w:rPr>
          <w:rFonts w:eastAsia="仿宋_GB2312"/>
          <w:bCs/>
          <w:color w:val="000000"/>
          <w:kern w:val="0"/>
          <w:sz w:val="32"/>
          <w:szCs w:val="32"/>
        </w:rPr>
        <w:t>的实验室允许的最大检测误差）。依据疫苗特点</w:t>
      </w:r>
      <w:proofErr w:type="gramStart"/>
      <w:r w:rsidRPr="000A2825">
        <w:rPr>
          <w:rFonts w:eastAsia="仿宋_GB2312"/>
          <w:bCs/>
          <w:color w:val="000000"/>
          <w:kern w:val="0"/>
          <w:sz w:val="32"/>
          <w:szCs w:val="32"/>
        </w:rPr>
        <w:t>各批间</w:t>
      </w:r>
      <w:proofErr w:type="gramEnd"/>
      <w:r w:rsidRPr="000A2825">
        <w:rPr>
          <w:rFonts w:eastAsia="仿宋_GB2312"/>
          <w:bCs/>
          <w:color w:val="000000"/>
          <w:kern w:val="0"/>
          <w:sz w:val="32"/>
          <w:szCs w:val="32"/>
        </w:rPr>
        <w:t>GMT</w:t>
      </w:r>
      <w:r w:rsidRPr="000A2825">
        <w:rPr>
          <w:rFonts w:eastAsia="仿宋_GB2312"/>
          <w:bCs/>
          <w:color w:val="000000"/>
          <w:kern w:val="0"/>
          <w:sz w:val="32"/>
          <w:szCs w:val="32"/>
        </w:rPr>
        <w:t>或</w:t>
      </w:r>
      <w:r w:rsidRPr="000A2825">
        <w:rPr>
          <w:rFonts w:eastAsia="仿宋_GB2312"/>
          <w:bCs/>
          <w:color w:val="000000"/>
          <w:kern w:val="0"/>
          <w:sz w:val="32"/>
          <w:szCs w:val="32"/>
        </w:rPr>
        <w:t>GMC</w:t>
      </w:r>
      <w:r w:rsidRPr="000A2825">
        <w:rPr>
          <w:rFonts w:eastAsia="仿宋_GB2312"/>
          <w:bCs/>
          <w:color w:val="000000"/>
          <w:kern w:val="0"/>
          <w:sz w:val="32"/>
          <w:szCs w:val="32"/>
        </w:rPr>
        <w:t>比值的</w:t>
      </w:r>
      <w:r w:rsidRPr="000A2825">
        <w:rPr>
          <w:rFonts w:eastAsia="仿宋_GB2312"/>
          <w:bCs/>
          <w:color w:val="000000"/>
          <w:kern w:val="0"/>
          <w:sz w:val="32"/>
          <w:szCs w:val="32"/>
        </w:rPr>
        <w:t>95%</w:t>
      </w:r>
      <w:r w:rsidRPr="000A2825">
        <w:rPr>
          <w:rFonts w:eastAsia="仿宋_GB2312"/>
          <w:bCs/>
          <w:color w:val="000000"/>
          <w:kern w:val="0"/>
          <w:sz w:val="32"/>
          <w:szCs w:val="32"/>
        </w:rPr>
        <w:t>置信区间通常选择（</w:t>
      </w:r>
      <w:r w:rsidRPr="000A2825">
        <w:rPr>
          <w:rFonts w:eastAsia="仿宋_GB2312"/>
          <w:bCs/>
          <w:color w:val="000000"/>
          <w:kern w:val="0"/>
          <w:sz w:val="32"/>
          <w:szCs w:val="32"/>
        </w:rPr>
        <w:t>0.67</w:t>
      </w:r>
      <w:r w:rsidRPr="000A2825">
        <w:rPr>
          <w:rFonts w:eastAsia="仿宋_GB2312"/>
          <w:bCs/>
          <w:color w:val="000000"/>
          <w:kern w:val="0"/>
          <w:sz w:val="32"/>
          <w:szCs w:val="32"/>
        </w:rPr>
        <w:t>，</w:t>
      </w:r>
      <w:r w:rsidRPr="000A2825">
        <w:rPr>
          <w:rFonts w:eastAsia="仿宋_GB2312"/>
          <w:bCs/>
          <w:color w:val="000000"/>
          <w:kern w:val="0"/>
          <w:sz w:val="32"/>
          <w:szCs w:val="32"/>
        </w:rPr>
        <w:t>1.5</w:t>
      </w:r>
      <w:r w:rsidRPr="000A2825">
        <w:rPr>
          <w:rFonts w:eastAsia="仿宋_GB2312"/>
          <w:bCs/>
          <w:color w:val="000000"/>
          <w:kern w:val="0"/>
          <w:sz w:val="32"/>
          <w:szCs w:val="32"/>
        </w:rPr>
        <w:t>）或（</w:t>
      </w:r>
      <w:r w:rsidRPr="000A2825">
        <w:rPr>
          <w:rFonts w:eastAsia="仿宋_GB2312"/>
          <w:bCs/>
          <w:color w:val="000000"/>
          <w:kern w:val="0"/>
          <w:sz w:val="32"/>
          <w:szCs w:val="32"/>
        </w:rPr>
        <w:t>0.5</w:t>
      </w:r>
      <w:r w:rsidRPr="000A2825">
        <w:rPr>
          <w:rFonts w:eastAsia="仿宋_GB2312"/>
          <w:bCs/>
          <w:color w:val="000000"/>
          <w:kern w:val="0"/>
          <w:sz w:val="32"/>
          <w:szCs w:val="32"/>
        </w:rPr>
        <w:t>，</w:t>
      </w:r>
      <w:r w:rsidRPr="000A2825">
        <w:rPr>
          <w:rFonts w:eastAsia="仿宋_GB2312"/>
          <w:bCs/>
          <w:color w:val="000000"/>
          <w:kern w:val="0"/>
          <w:sz w:val="32"/>
          <w:szCs w:val="32"/>
        </w:rPr>
        <w:t>2</w:t>
      </w:r>
      <w:r w:rsidRPr="000A2825">
        <w:rPr>
          <w:rFonts w:eastAsia="仿宋_GB2312"/>
          <w:bCs/>
          <w:color w:val="000000"/>
          <w:kern w:val="0"/>
          <w:sz w:val="32"/>
          <w:szCs w:val="32"/>
        </w:rPr>
        <w:t>）作为等效界值；应提供选择等效界值的依据。批次间一致性试验的样本量估算时应注意</w:t>
      </w:r>
      <w:r w:rsidRPr="000A2825">
        <w:rPr>
          <w:rFonts w:ascii="宋体" w:hAnsi="宋体" w:cs="宋体" w:hint="eastAsia"/>
          <w:bCs/>
          <w:color w:val="000000"/>
          <w:kern w:val="0"/>
          <w:sz w:val="32"/>
          <w:szCs w:val="32"/>
        </w:rPr>
        <w:t>Ⅱ</w:t>
      </w:r>
      <w:r w:rsidRPr="000A2825">
        <w:rPr>
          <w:rFonts w:eastAsia="仿宋_GB2312"/>
          <w:bCs/>
          <w:color w:val="000000"/>
          <w:kern w:val="0"/>
          <w:sz w:val="32"/>
          <w:szCs w:val="32"/>
        </w:rPr>
        <w:t>类错误膨胀所致检验功效的降低。</w:t>
      </w:r>
      <w:r w:rsidRPr="000A2825">
        <w:rPr>
          <w:rFonts w:eastAsia="仿宋_GB2312"/>
          <w:bCs/>
          <w:color w:val="000000"/>
          <w:kern w:val="0"/>
          <w:sz w:val="32"/>
          <w:szCs w:val="32"/>
        </w:rPr>
        <w:t xml:space="preserve"> </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52" w:name="_Toc409439889"/>
      <w:bookmarkStart w:id="53" w:name="_Toc409439940"/>
      <w:bookmarkStart w:id="54" w:name="_Toc409439964"/>
      <w:bookmarkStart w:id="55" w:name="_Toc429319323"/>
      <w:r w:rsidRPr="000A2825">
        <w:rPr>
          <w:rFonts w:eastAsia="楷体_GB2312"/>
          <w:bCs/>
          <w:color w:val="000000"/>
          <w:kern w:val="0"/>
          <w:sz w:val="32"/>
          <w:szCs w:val="32"/>
        </w:rPr>
        <w:t>（三）样本量</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lastRenderedPageBreak/>
        <w:t>样本量的估算应符合统计学和技术评价相关要求。样本量的确定与设计类型、主要评价指标、等效</w:t>
      </w:r>
      <w:r w:rsidRPr="000A2825">
        <w:rPr>
          <w:rFonts w:eastAsia="仿宋_GB2312"/>
          <w:bCs/>
          <w:color w:val="000000"/>
          <w:kern w:val="0"/>
          <w:sz w:val="32"/>
          <w:szCs w:val="32"/>
        </w:rPr>
        <w:t>/</w:t>
      </w:r>
      <w:r w:rsidRPr="000A2825">
        <w:rPr>
          <w:rFonts w:eastAsia="仿宋_GB2312"/>
          <w:bCs/>
          <w:color w:val="000000"/>
          <w:kern w:val="0"/>
          <w:sz w:val="32"/>
          <w:szCs w:val="32"/>
        </w:rPr>
        <w:t>非</w:t>
      </w:r>
      <w:proofErr w:type="gramStart"/>
      <w:r w:rsidRPr="000A2825">
        <w:rPr>
          <w:rFonts w:eastAsia="仿宋_GB2312"/>
          <w:bCs/>
          <w:color w:val="000000"/>
          <w:kern w:val="0"/>
          <w:sz w:val="32"/>
          <w:szCs w:val="32"/>
        </w:rPr>
        <w:t>劣效界</w:t>
      </w:r>
      <w:proofErr w:type="gramEnd"/>
      <w:r w:rsidRPr="000A2825">
        <w:rPr>
          <w:rFonts w:eastAsia="仿宋_GB2312"/>
          <w:bCs/>
          <w:color w:val="000000"/>
          <w:kern w:val="0"/>
          <w:sz w:val="32"/>
          <w:szCs w:val="32"/>
        </w:rPr>
        <w:t>值、检验方法、</w:t>
      </w:r>
      <w:r w:rsidRPr="000A2825">
        <w:rPr>
          <w:rFonts w:ascii="宋体" w:hAnsi="宋体" w:cs="宋体" w:hint="eastAsia"/>
          <w:bCs/>
          <w:color w:val="000000"/>
          <w:kern w:val="0"/>
          <w:sz w:val="32"/>
          <w:szCs w:val="32"/>
        </w:rPr>
        <w:t>Ⅰ</w:t>
      </w:r>
      <w:r w:rsidRPr="000A2825">
        <w:rPr>
          <w:rFonts w:eastAsia="仿宋_GB2312"/>
          <w:bCs/>
          <w:color w:val="000000"/>
          <w:kern w:val="0"/>
          <w:sz w:val="32"/>
          <w:szCs w:val="32"/>
        </w:rPr>
        <w:t>类和</w:t>
      </w:r>
      <w:r w:rsidRPr="000A2825">
        <w:rPr>
          <w:rFonts w:ascii="宋体" w:hAnsi="宋体" w:cs="宋体" w:hint="eastAsia"/>
          <w:bCs/>
          <w:color w:val="000000"/>
          <w:kern w:val="0"/>
          <w:sz w:val="32"/>
          <w:szCs w:val="32"/>
        </w:rPr>
        <w:t>Ⅱ</w:t>
      </w:r>
      <w:r w:rsidRPr="000A2825">
        <w:rPr>
          <w:rFonts w:eastAsia="仿宋_GB2312"/>
          <w:bCs/>
          <w:color w:val="000000"/>
          <w:kern w:val="0"/>
          <w:sz w:val="32"/>
          <w:szCs w:val="32"/>
        </w:rPr>
        <w:t>类错误有关。具体计算方法和过程中涉及统计量的估计值及依据应在临床试验方案中详细列出。疫苗临床可比性研究一般应结合对照疫苗的抗体阳转率和</w:t>
      </w:r>
      <w:r w:rsidRPr="000A2825">
        <w:rPr>
          <w:rFonts w:eastAsia="仿宋_GB2312"/>
          <w:bCs/>
          <w:color w:val="000000"/>
          <w:kern w:val="0"/>
          <w:sz w:val="32"/>
          <w:szCs w:val="32"/>
        </w:rPr>
        <w:t>/</w:t>
      </w:r>
      <w:r w:rsidRPr="000A2825">
        <w:rPr>
          <w:rFonts w:eastAsia="仿宋_GB2312"/>
          <w:bCs/>
          <w:color w:val="000000"/>
          <w:kern w:val="0"/>
          <w:sz w:val="32"/>
          <w:szCs w:val="32"/>
        </w:rPr>
        <w:t>或抗体水平及置信区间进行估计。需要注意的是，多价疫苗临床试验中当研究目的为</w:t>
      </w:r>
      <w:proofErr w:type="gramStart"/>
      <w:r w:rsidRPr="000A2825">
        <w:rPr>
          <w:rFonts w:eastAsia="仿宋_GB2312"/>
          <w:bCs/>
          <w:color w:val="000000"/>
          <w:kern w:val="0"/>
          <w:sz w:val="32"/>
          <w:szCs w:val="32"/>
        </w:rPr>
        <w:t>疫苗各价抗体</w:t>
      </w:r>
      <w:proofErr w:type="gramEnd"/>
      <w:r w:rsidRPr="000A2825">
        <w:rPr>
          <w:rFonts w:eastAsia="仿宋_GB2312"/>
          <w:bCs/>
          <w:color w:val="000000"/>
          <w:kern w:val="0"/>
          <w:sz w:val="32"/>
          <w:szCs w:val="32"/>
        </w:rPr>
        <w:t>均须满足</w:t>
      </w:r>
      <w:proofErr w:type="gramStart"/>
      <w:r w:rsidRPr="000A2825">
        <w:rPr>
          <w:rFonts w:eastAsia="仿宋_GB2312"/>
          <w:bCs/>
          <w:color w:val="000000"/>
          <w:kern w:val="0"/>
          <w:sz w:val="32"/>
          <w:szCs w:val="32"/>
        </w:rPr>
        <w:t>非劣效性</w:t>
      </w:r>
      <w:proofErr w:type="gramEnd"/>
      <w:r w:rsidRPr="000A2825">
        <w:rPr>
          <w:rFonts w:eastAsia="仿宋_GB2312"/>
          <w:bCs/>
          <w:color w:val="000000"/>
          <w:kern w:val="0"/>
          <w:sz w:val="32"/>
          <w:szCs w:val="32"/>
        </w:rPr>
        <w:t>要求时，样本量的估算应注意对</w:t>
      </w:r>
      <w:r w:rsidRPr="000A2825">
        <w:rPr>
          <w:rFonts w:ascii="宋体" w:hAnsi="宋体" w:cs="宋体" w:hint="eastAsia"/>
          <w:bCs/>
          <w:color w:val="000000"/>
          <w:kern w:val="0"/>
          <w:sz w:val="32"/>
          <w:szCs w:val="32"/>
        </w:rPr>
        <w:t>Ⅱ</w:t>
      </w:r>
      <w:r w:rsidRPr="000A2825">
        <w:rPr>
          <w:rFonts w:eastAsia="仿宋_GB2312"/>
          <w:bCs/>
          <w:color w:val="000000"/>
          <w:kern w:val="0"/>
          <w:sz w:val="32"/>
          <w:szCs w:val="32"/>
        </w:rPr>
        <w:t>类错误的调整，以保证试验有足够的把握度。</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样本量的估算还应兼顾考虑安全性，其中试验疫苗组的样本量一般应不少于</w:t>
      </w:r>
      <w:r w:rsidRPr="000A2825">
        <w:rPr>
          <w:rFonts w:eastAsia="仿宋_GB2312"/>
          <w:bCs/>
          <w:color w:val="000000"/>
          <w:kern w:val="0"/>
          <w:sz w:val="32"/>
          <w:szCs w:val="32"/>
        </w:rPr>
        <w:t>500</w:t>
      </w:r>
      <w:r w:rsidRPr="000A2825">
        <w:rPr>
          <w:rFonts w:eastAsia="仿宋_GB2312"/>
          <w:bCs/>
          <w:color w:val="000000"/>
          <w:kern w:val="0"/>
          <w:sz w:val="32"/>
          <w:szCs w:val="32"/>
        </w:rPr>
        <w:t>例。若有同类疫苗安全性信号提示存在特定的安全性风险时样本量估算应尽量保守。</w:t>
      </w:r>
    </w:p>
    <w:p w:rsidR="004B36CB" w:rsidRPr="000A2825" w:rsidRDefault="004B36CB" w:rsidP="004B36CB">
      <w:pPr>
        <w:spacing w:line="580" w:lineRule="exact"/>
        <w:ind w:firstLineChars="200" w:firstLine="640"/>
        <w:rPr>
          <w:rFonts w:eastAsia="楷体_GB2312"/>
          <w:bCs/>
          <w:color w:val="000000"/>
          <w:kern w:val="0"/>
          <w:sz w:val="32"/>
          <w:szCs w:val="32"/>
        </w:rPr>
      </w:pPr>
      <w:r w:rsidRPr="000A2825">
        <w:rPr>
          <w:rFonts w:eastAsia="楷体_GB2312"/>
          <w:bCs/>
          <w:color w:val="000000"/>
          <w:kern w:val="0"/>
          <w:sz w:val="32"/>
          <w:szCs w:val="32"/>
        </w:rPr>
        <w:t>（四）统计分析人群和缺失值</w:t>
      </w:r>
      <w:bookmarkEnd w:id="52"/>
      <w:bookmarkEnd w:id="53"/>
      <w:bookmarkEnd w:id="54"/>
      <w:bookmarkEnd w:id="55"/>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统计分析人群应在试验方案中明确定义。在等效性或</w:t>
      </w:r>
      <w:proofErr w:type="gramStart"/>
      <w:r w:rsidRPr="000A2825">
        <w:rPr>
          <w:rFonts w:eastAsia="仿宋_GB2312"/>
          <w:bCs/>
          <w:color w:val="000000"/>
          <w:kern w:val="0"/>
          <w:sz w:val="32"/>
          <w:szCs w:val="32"/>
        </w:rPr>
        <w:t>非劣效性</w:t>
      </w:r>
      <w:proofErr w:type="gramEnd"/>
      <w:r w:rsidRPr="000A2825">
        <w:rPr>
          <w:rFonts w:eastAsia="仿宋_GB2312"/>
          <w:bCs/>
          <w:color w:val="000000"/>
          <w:kern w:val="0"/>
          <w:sz w:val="32"/>
          <w:szCs w:val="32"/>
        </w:rPr>
        <w:t>试验统计分析时，可以用符合方案集和全分析集作为分析人群，两个</w:t>
      </w:r>
      <w:proofErr w:type="gramStart"/>
      <w:r w:rsidRPr="000A2825">
        <w:rPr>
          <w:rFonts w:eastAsia="仿宋_GB2312"/>
          <w:bCs/>
          <w:color w:val="000000"/>
          <w:kern w:val="0"/>
          <w:sz w:val="32"/>
          <w:szCs w:val="32"/>
        </w:rPr>
        <w:t>分析集所得出</w:t>
      </w:r>
      <w:proofErr w:type="gramEnd"/>
      <w:r w:rsidRPr="000A2825">
        <w:rPr>
          <w:rFonts w:eastAsia="仿宋_GB2312"/>
          <w:bCs/>
          <w:color w:val="000000"/>
          <w:kern w:val="0"/>
          <w:sz w:val="32"/>
          <w:szCs w:val="32"/>
        </w:rPr>
        <w:t>的结论通常应一致，否则应分析并合理解释导致不一致的原因。</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对于以免疫原性作为评价指标的等效</w:t>
      </w:r>
      <w:r w:rsidRPr="000A2825">
        <w:rPr>
          <w:rFonts w:eastAsia="仿宋_GB2312"/>
          <w:bCs/>
          <w:color w:val="000000"/>
          <w:kern w:val="0"/>
          <w:sz w:val="32"/>
          <w:szCs w:val="32"/>
        </w:rPr>
        <w:t>/</w:t>
      </w:r>
      <w:proofErr w:type="gramStart"/>
      <w:r w:rsidRPr="000A2825">
        <w:rPr>
          <w:rFonts w:eastAsia="仿宋_GB2312"/>
          <w:bCs/>
          <w:color w:val="000000"/>
          <w:kern w:val="0"/>
          <w:sz w:val="32"/>
          <w:szCs w:val="32"/>
        </w:rPr>
        <w:t>非劣效试验</w:t>
      </w:r>
      <w:proofErr w:type="gramEnd"/>
      <w:r w:rsidRPr="000A2825">
        <w:rPr>
          <w:rFonts w:eastAsia="仿宋_GB2312"/>
          <w:bCs/>
          <w:color w:val="000000"/>
          <w:kern w:val="0"/>
          <w:sz w:val="32"/>
          <w:szCs w:val="32"/>
        </w:rPr>
        <w:t>，一般应基于易感人群的全分析集和符合方案集的统计分析结果进行综合评价。</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必要的亚组分析（如年龄层、易感和非易感人群的亚组分析等）应在试验方案中事先列出。注册临床试验中只有主要终点的统计学检验成立时亚组分析结果才可以作为支持性结论，否则应该在设计时考虑对</w:t>
      </w:r>
      <w:r w:rsidRPr="000A2825">
        <w:rPr>
          <w:rFonts w:eastAsia="仿宋_GB2312"/>
          <w:bCs/>
          <w:color w:val="000000"/>
          <w:kern w:val="0"/>
          <w:sz w:val="32"/>
          <w:szCs w:val="32"/>
        </w:rPr>
        <w:t>I</w:t>
      </w:r>
      <w:r w:rsidRPr="000A2825">
        <w:rPr>
          <w:rFonts w:eastAsia="仿宋_GB2312"/>
          <w:bCs/>
          <w:color w:val="000000"/>
          <w:kern w:val="0"/>
          <w:sz w:val="32"/>
          <w:szCs w:val="32"/>
        </w:rPr>
        <w:t>类错误的控制。</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lastRenderedPageBreak/>
        <w:t>免疫原性数据中</w:t>
      </w:r>
      <w:proofErr w:type="gramStart"/>
      <w:r w:rsidRPr="000A2825">
        <w:rPr>
          <w:rFonts w:eastAsia="仿宋_GB2312"/>
          <w:bCs/>
          <w:color w:val="000000"/>
          <w:kern w:val="0"/>
          <w:sz w:val="32"/>
          <w:szCs w:val="32"/>
        </w:rPr>
        <w:t>缺失值</w:t>
      </w:r>
      <w:proofErr w:type="gramEnd"/>
      <w:r w:rsidRPr="000A2825">
        <w:rPr>
          <w:rFonts w:eastAsia="仿宋_GB2312"/>
          <w:bCs/>
          <w:color w:val="000000"/>
          <w:kern w:val="0"/>
          <w:sz w:val="32"/>
          <w:szCs w:val="32"/>
        </w:rPr>
        <w:t>的填补应遵循保守的原则，低于检测限未检出的数值的填补方法应在方案中注明。免疫原性低于</w:t>
      </w:r>
      <w:r w:rsidRPr="000A2825">
        <w:rPr>
          <w:rFonts w:eastAsia="仿宋_GB2312"/>
          <w:bCs/>
          <w:color w:val="000000"/>
          <w:kern w:val="0"/>
          <w:sz w:val="32"/>
          <w:szCs w:val="32"/>
        </w:rPr>
        <w:t>/</w:t>
      </w:r>
      <w:r w:rsidRPr="000A2825">
        <w:rPr>
          <w:rFonts w:eastAsia="仿宋_GB2312"/>
          <w:bCs/>
          <w:color w:val="000000"/>
          <w:kern w:val="0"/>
          <w:sz w:val="32"/>
          <w:szCs w:val="32"/>
        </w:rPr>
        <w:t>高于检测限的数据和疫苗免疫前后抗体倒置等的处理原则上应保守并在试验方案中事先明确。</w:t>
      </w:r>
    </w:p>
    <w:p w:rsidR="004B36CB" w:rsidRPr="000A2825" w:rsidRDefault="004B36CB" w:rsidP="004B36CB">
      <w:pPr>
        <w:spacing w:line="580" w:lineRule="exact"/>
        <w:ind w:firstLineChars="200" w:firstLine="640"/>
        <w:rPr>
          <w:rFonts w:eastAsia="黑体"/>
          <w:color w:val="000000"/>
          <w:sz w:val="32"/>
          <w:szCs w:val="32"/>
          <w:u w:color="000000"/>
        </w:rPr>
      </w:pPr>
      <w:bookmarkStart w:id="56" w:name="_Toc409439890"/>
      <w:bookmarkStart w:id="57" w:name="_Toc409439941"/>
      <w:bookmarkStart w:id="58" w:name="_Toc409439965"/>
      <w:bookmarkStart w:id="59" w:name="_Toc429319324"/>
      <w:r w:rsidRPr="000A2825">
        <w:rPr>
          <w:rFonts w:eastAsia="黑体"/>
          <w:color w:val="000000"/>
          <w:sz w:val="32"/>
          <w:szCs w:val="32"/>
          <w:u w:color="000000"/>
        </w:rPr>
        <w:t>五、数据管理和质量保证</w:t>
      </w:r>
      <w:bookmarkEnd w:id="56"/>
      <w:bookmarkEnd w:id="57"/>
      <w:bookmarkEnd w:id="58"/>
      <w:bookmarkEnd w:id="59"/>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临床试验的数据质量是评价临床研究结果的基础。数据管理过程包括数据接收、录入、清理、编码、一致性核查、数据锁定和转换等环节，所有涉及数据管理的各步骤均需记录在案，以保证临床试验</w:t>
      </w:r>
      <w:proofErr w:type="gramStart"/>
      <w:r w:rsidRPr="000A2825">
        <w:rPr>
          <w:rFonts w:eastAsia="仿宋_GB2312"/>
          <w:bCs/>
          <w:color w:val="000000"/>
          <w:kern w:val="0"/>
          <w:sz w:val="32"/>
          <w:szCs w:val="32"/>
        </w:rPr>
        <w:t>源数据</w:t>
      </w:r>
      <w:proofErr w:type="gramEnd"/>
      <w:r w:rsidRPr="000A2825">
        <w:rPr>
          <w:rFonts w:eastAsia="仿宋_GB2312"/>
          <w:bCs/>
          <w:color w:val="000000"/>
          <w:kern w:val="0"/>
          <w:sz w:val="32"/>
          <w:szCs w:val="32"/>
        </w:rPr>
        <w:t>的可核实性。数据管理应建立和实施质量保障与评估的措施，明确责任和权限，制定</w:t>
      </w:r>
      <w:r w:rsidRPr="000A2825">
        <w:rPr>
          <w:rFonts w:eastAsia="仿宋_GB2312"/>
          <w:bCs/>
          <w:color w:val="000000"/>
          <w:kern w:val="0"/>
          <w:sz w:val="32"/>
          <w:szCs w:val="32"/>
        </w:rPr>
        <w:t>SOP</w:t>
      </w:r>
      <w:r w:rsidRPr="000A2825">
        <w:rPr>
          <w:rFonts w:eastAsia="仿宋_GB2312"/>
          <w:bCs/>
          <w:color w:val="000000"/>
          <w:kern w:val="0"/>
          <w:sz w:val="32"/>
          <w:szCs w:val="32"/>
        </w:rPr>
        <w:t>，完善内部质量审核和稽查机制，保证质量。</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临床试验数据的收集和管理可采用多种形式，但须提供相关资料体现整个临床试验过程有良好的质量控制，如编盲、</w:t>
      </w:r>
      <w:proofErr w:type="gramStart"/>
      <w:r w:rsidRPr="000A2825">
        <w:rPr>
          <w:rFonts w:eastAsia="仿宋_GB2312"/>
          <w:bCs/>
          <w:color w:val="000000"/>
          <w:kern w:val="0"/>
          <w:sz w:val="32"/>
          <w:szCs w:val="32"/>
        </w:rPr>
        <w:t>盲底保存</w:t>
      </w:r>
      <w:proofErr w:type="gramEnd"/>
      <w:r w:rsidRPr="000A2825">
        <w:rPr>
          <w:rFonts w:eastAsia="仿宋_GB2312"/>
          <w:bCs/>
          <w:color w:val="000000"/>
          <w:kern w:val="0"/>
          <w:sz w:val="32"/>
          <w:szCs w:val="32"/>
        </w:rPr>
        <w:t>、随机分配、紧急解盲、数据核查、数据锁定、</w:t>
      </w:r>
      <w:proofErr w:type="gramStart"/>
      <w:r w:rsidRPr="000A2825">
        <w:rPr>
          <w:rFonts w:eastAsia="仿宋_GB2312"/>
          <w:bCs/>
          <w:color w:val="000000"/>
          <w:kern w:val="0"/>
          <w:sz w:val="32"/>
          <w:szCs w:val="32"/>
        </w:rPr>
        <w:t>盲态审核和揭盲</w:t>
      </w:r>
      <w:proofErr w:type="gramEnd"/>
      <w:r w:rsidRPr="000A2825">
        <w:rPr>
          <w:rFonts w:eastAsia="仿宋_GB2312"/>
          <w:bCs/>
          <w:color w:val="000000"/>
          <w:kern w:val="0"/>
          <w:sz w:val="32"/>
          <w:szCs w:val="32"/>
        </w:rPr>
        <w:t>的</w:t>
      </w:r>
      <w:r w:rsidRPr="000A2825">
        <w:rPr>
          <w:rFonts w:eastAsia="仿宋_GB2312"/>
          <w:bCs/>
          <w:color w:val="000000"/>
          <w:kern w:val="0"/>
          <w:sz w:val="32"/>
          <w:szCs w:val="32"/>
        </w:rPr>
        <w:t>SOP</w:t>
      </w:r>
      <w:r w:rsidRPr="000A2825">
        <w:rPr>
          <w:rFonts w:eastAsia="仿宋_GB2312"/>
          <w:bCs/>
          <w:color w:val="000000"/>
          <w:kern w:val="0"/>
          <w:sz w:val="32"/>
          <w:szCs w:val="32"/>
        </w:rPr>
        <w:t>和原始记录等。从试验数据的采集到数据库的完成，均应符合</w:t>
      </w:r>
      <w:r w:rsidRPr="000A2825">
        <w:rPr>
          <w:rFonts w:eastAsia="仿宋_GB2312"/>
          <w:bCs/>
          <w:color w:val="000000"/>
          <w:kern w:val="0"/>
          <w:sz w:val="32"/>
          <w:szCs w:val="32"/>
        </w:rPr>
        <w:t>GCP</w:t>
      </w:r>
      <w:r w:rsidRPr="000A2825">
        <w:rPr>
          <w:rFonts w:eastAsia="仿宋_GB2312"/>
          <w:bCs/>
          <w:color w:val="000000"/>
          <w:kern w:val="0"/>
          <w:sz w:val="32"/>
          <w:szCs w:val="32"/>
        </w:rPr>
        <w:t>的相关规定，及国家局发布的《临床试验数据管理工作技术指南》和《临床试验的电子数据采集（</w:t>
      </w:r>
      <w:r w:rsidRPr="000A2825">
        <w:rPr>
          <w:rFonts w:eastAsia="仿宋_GB2312"/>
          <w:bCs/>
          <w:color w:val="000000"/>
          <w:kern w:val="0"/>
          <w:sz w:val="32"/>
          <w:szCs w:val="32"/>
        </w:rPr>
        <w:t>EDC</w:t>
      </w:r>
      <w:r w:rsidRPr="000A2825">
        <w:rPr>
          <w:rFonts w:eastAsia="仿宋_GB2312"/>
          <w:bCs/>
          <w:color w:val="000000"/>
          <w:kern w:val="0"/>
          <w:sz w:val="32"/>
          <w:szCs w:val="32"/>
        </w:rPr>
        <w:t>）技术指导原则》的相关要求。</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按现行注册法规要求应提交所有的临床试验数据库（即锁定的原始和分析数据库），并附数据库结构以及变量赋值说明。鼓励疫苗临床试验中采用电子数据采集系统（</w:t>
      </w:r>
      <w:r w:rsidRPr="000A2825">
        <w:rPr>
          <w:rFonts w:eastAsia="仿宋_GB2312"/>
          <w:bCs/>
          <w:color w:val="000000"/>
          <w:kern w:val="0"/>
          <w:sz w:val="32"/>
          <w:szCs w:val="32"/>
        </w:rPr>
        <w:t>EDC</w:t>
      </w:r>
      <w:r w:rsidRPr="000A2825">
        <w:rPr>
          <w:rFonts w:eastAsia="仿宋_GB2312"/>
          <w:bCs/>
          <w:color w:val="000000"/>
          <w:kern w:val="0"/>
          <w:sz w:val="32"/>
          <w:szCs w:val="32"/>
        </w:rPr>
        <w:t>）以保证数据采集的及时、准确和完整性。</w:t>
      </w:r>
    </w:p>
    <w:p w:rsidR="004B36CB" w:rsidRPr="000A2825" w:rsidRDefault="004B36CB" w:rsidP="004B36CB">
      <w:pPr>
        <w:spacing w:line="580" w:lineRule="exact"/>
        <w:ind w:firstLineChars="200" w:firstLine="640"/>
        <w:rPr>
          <w:rFonts w:eastAsia="黑体"/>
          <w:color w:val="000000"/>
          <w:sz w:val="32"/>
          <w:szCs w:val="32"/>
          <w:u w:color="000000"/>
        </w:rPr>
      </w:pPr>
      <w:bookmarkStart w:id="60" w:name="_Toc409439891"/>
      <w:bookmarkStart w:id="61" w:name="_Toc409439942"/>
      <w:bookmarkStart w:id="62" w:name="_Toc409439966"/>
      <w:bookmarkStart w:id="63" w:name="_Toc429319325"/>
      <w:r w:rsidRPr="000A2825">
        <w:rPr>
          <w:rFonts w:eastAsia="黑体"/>
          <w:color w:val="000000"/>
          <w:sz w:val="32"/>
          <w:szCs w:val="32"/>
          <w:u w:color="000000"/>
        </w:rPr>
        <w:t>六、临床试验结果</w:t>
      </w:r>
      <w:bookmarkEnd w:id="60"/>
      <w:bookmarkEnd w:id="61"/>
      <w:bookmarkEnd w:id="62"/>
      <w:r w:rsidRPr="000A2825">
        <w:rPr>
          <w:rFonts w:eastAsia="黑体"/>
          <w:color w:val="000000"/>
          <w:sz w:val="32"/>
          <w:szCs w:val="32"/>
          <w:u w:color="000000"/>
        </w:rPr>
        <w:t>评价</w:t>
      </w:r>
      <w:bookmarkEnd w:id="63"/>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疫苗临床试验的方案设计、实施过程和统计分析均应科</w:t>
      </w:r>
      <w:r w:rsidRPr="000A2825">
        <w:rPr>
          <w:rFonts w:eastAsia="仿宋_GB2312"/>
          <w:bCs/>
          <w:color w:val="000000"/>
          <w:kern w:val="0"/>
          <w:sz w:val="32"/>
          <w:szCs w:val="32"/>
        </w:rPr>
        <w:lastRenderedPageBreak/>
        <w:t>学可行并符合相关法律法规和管理要求。采用免疫原性替代终点进行疫苗临床可比性评价时，还须考虑：</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64" w:name="_Toc409439892"/>
      <w:bookmarkStart w:id="65" w:name="_Toc409439943"/>
      <w:bookmarkStart w:id="66" w:name="_Toc409439967"/>
      <w:bookmarkStart w:id="67" w:name="_Toc429319326"/>
      <w:r w:rsidRPr="000A2825">
        <w:rPr>
          <w:rFonts w:eastAsia="楷体_GB2312"/>
          <w:bCs/>
          <w:color w:val="000000"/>
          <w:kern w:val="0"/>
          <w:sz w:val="32"/>
          <w:szCs w:val="32"/>
        </w:rPr>
        <w:t>（一）免疫原性</w:t>
      </w:r>
      <w:bookmarkEnd w:id="64"/>
      <w:bookmarkEnd w:id="65"/>
      <w:bookmarkEnd w:id="66"/>
      <w:bookmarkEnd w:id="67"/>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免疫原性检测方法和结果的评价应与公认的标准一致，在进行试验疫苗和对照疫苗免疫原性结果的比较分析和总结时，应提供包括免疫前、免疫后血清抗体阳转率、</w:t>
      </w:r>
      <w:r w:rsidRPr="000A2825">
        <w:rPr>
          <w:rFonts w:eastAsia="仿宋_GB2312"/>
          <w:bCs/>
          <w:color w:val="000000"/>
          <w:kern w:val="0"/>
          <w:sz w:val="32"/>
          <w:szCs w:val="32"/>
        </w:rPr>
        <w:t>GMT/GMC</w:t>
      </w:r>
      <w:r w:rsidRPr="000A2825">
        <w:rPr>
          <w:rFonts w:eastAsia="仿宋_GB2312"/>
          <w:bCs/>
          <w:color w:val="000000"/>
          <w:kern w:val="0"/>
          <w:sz w:val="32"/>
          <w:szCs w:val="32"/>
        </w:rPr>
        <w:t>及其置信区间的数据，还</w:t>
      </w:r>
      <w:proofErr w:type="gramStart"/>
      <w:r w:rsidRPr="000A2825">
        <w:rPr>
          <w:rFonts w:eastAsia="仿宋_GB2312"/>
          <w:bCs/>
          <w:color w:val="000000"/>
          <w:kern w:val="0"/>
          <w:sz w:val="32"/>
          <w:szCs w:val="32"/>
        </w:rPr>
        <w:t>须分析</w:t>
      </w:r>
      <w:proofErr w:type="gramEnd"/>
      <w:r w:rsidRPr="000A2825">
        <w:rPr>
          <w:rFonts w:eastAsia="仿宋_GB2312"/>
          <w:bCs/>
          <w:color w:val="000000"/>
          <w:kern w:val="0"/>
          <w:sz w:val="32"/>
          <w:szCs w:val="32"/>
        </w:rPr>
        <w:t>免疫后抗体增长倍数。推荐使用反向累积分布曲线（也称逆向累积分布曲线；</w:t>
      </w:r>
      <w:r w:rsidRPr="000A2825">
        <w:rPr>
          <w:rFonts w:eastAsia="仿宋_GB2312"/>
          <w:bCs/>
          <w:color w:val="000000"/>
          <w:kern w:val="0"/>
          <w:sz w:val="32"/>
          <w:szCs w:val="32"/>
        </w:rPr>
        <w:t>Reverse cumulative distribution curve</w:t>
      </w:r>
      <w:r w:rsidRPr="000A2825">
        <w:rPr>
          <w:rFonts w:eastAsia="仿宋_GB2312"/>
          <w:bCs/>
          <w:color w:val="000000"/>
          <w:kern w:val="0"/>
          <w:sz w:val="32"/>
          <w:szCs w:val="32"/>
        </w:rPr>
        <w:t>，</w:t>
      </w:r>
      <w:r w:rsidRPr="000A2825">
        <w:rPr>
          <w:rFonts w:eastAsia="仿宋_GB2312"/>
          <w:bCs/>
          <w:color w:val="000000"/>
          <w:kern w:val="0"/>
          <w:sz w:val="32"/>
          <w:szCs w:val="32"/>
        </w:rPr>
        <w:t>RCDC</w:t>
      </w:r>
      <w:r w:rsidRPr="000A2825">
        <w:rPr>
          <w:rFonts w:eastAsia="仿宋_GB2312"/>
          <w:bCs/>
          <w:color w:val="000000"/>
          <w:kern w:val="0"/>
          <w:sz w:val="32"/>
          <w:szCs w:val="32"/>
        </w:rPr>
        <w:t>）的形式呈现完整的抗体滴度分布和比较情况，如接种前</w:t>
      </w:r>
      <w:r w:rsidRPr="000A2825">
        <w:rPr>
          <w:rFonts w:eastAsia="仿宋_GB2312"/>
          <w:bCs/>
          <w:color w:val="000000"/>
          <w:kern w:val="0"/>
          <w:sz w:val="32"/>
          <w:szCs w:val="32"/>
        </w:rPr>
        <w:t>/</w:t>
      </w:r>
      <w:r w:rsidRPr="000A2825">
        <w:rPr>
          <w:rFonts w:eastAsia="仿宋_GB2312"/>
          <w:bCs/>
          <w:color w:val="000000"/>
          <w:kern w:val="0"/>
          <w:sz w:val="32"/>
          <w:szCs w:val="32"/>
        </w:rPr>
        <w:t>后抗体滴度，试验与对照两组抗体滴度等。</w:t>
      </w:r>
    </w:p>
    <w:p w:rsidR="004B36CB" w:rsidRPr="000A2825" w:rsidRDefault="004B36CB" w:rsidP="004B36CB">
      <w:pPr>
        <w:spacing w:line="580" w:lineRule="exact"/>
        <w:ind w:firstLineChars="200" w:firstLine="640"/>
        <w:rPr>
          <w:rFonts w:eastAsia="楷体_GB2312"/>
          <w:bCs/>
          <w:color w:val="000000"/>
          <w:kern w:val="0"/>
          <w:sz w:val="32"/>
          <w:szCs w:val="32"/>
        </w:rPr>
      </w:pPr>
      <w:bookmarkStart w:id="68" w:name="_Toc429319327"/>
      <w:r w:rsidRPr="000A2825">
        <w:rPr>
          <w:rFonts w:eastAsia="楷体_GB2312"/>
          <w:bCs/>
          <w:color w:val="000000"/>
          <w:kern w:val="0"/>
          <w:sz w:val="32"/>
          <w:szCs w:val="32"/>
        </w:rPr>
        <w:t>（二）安全性</w:t>
      </w:r>
      <w:bookmarkEnd w:id="68"/>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安全性也是疫苗临床试验的重要评价终点之一。应全面分析试验疫苗在研究中获得的安全性数据，评价疫苗相关的预期不良事件（不良反应）的特征是否与对照疫苗趋同，在不良反应发生率和严重程度方面应体现优势或与对照疫苗相似；还应与上市同类疫苗临床研究历史数据进行分析比较。</w:t>
      </w:r>
      <w:bookmarkStart w:id="69" w:name="_Toc409439893"/>
      <w:bookmarkStart w:id="70" w:name="_Toc409439944"/>
      <w:bookmarkStart w:id="71" w:name="_Toc409439968"/>
    </w:p>
    <w:p w:rsidR="004B36CB" w:rsidRPr="000A2825" w:rsidRDefault="004B36CB" w:rsidP="004B36CB">
      <w:pPr>
        <w:spacing w:line="580" w:lineRule="exact"/>
        <w:ind w:firstLineChars="200" w:firstLine="640"/>
        <w:rPr>
          <w:rFonts w:eastAsia="黑体"/>
          <w:color w:val="000000"/>
          <w:sz w:val="32"/>
          <w:szCs w:val="32"/>
          <w:u w:color="000000"/>
        </w:rPr>
      </w:pPr>
      <w:bookmarkStart w:id="72" w:name="_Toc429319328"/>
      <w:r w:rsidRPr="000A2825">
        <w:rPr>
          <w:rFonts w:eastAsia="黑体"/>
          <w:color w:val="000000"/>
          <w:sz w:val="32"/>
          <w:szCs w:val="32"/>
          <w:u w:color="000000"/>
        </w:rPr>
        <w:t>七、名词解释</w:t>
      </w:r>
      <w:bookmarkEnd w:id="69"/>
      <w:bookmarkEnd w:id="70"/>
      <w:bookmarkEnd w:id="71"/>
      <w:bookmarkEnd w:id="72"/>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 xml:space="preserve">1. </w:t>
      </w:r>
      <w:r w:rsidRPr="000A2825">
        <w:rPr>
          <w:rFonts w:eastAsia="仿宋_GB2312"/>
          <w:bCs/>
          <w:color w:val="000000"/>
          <w:kern w:val="0"/>
          <w:sz w:val="32"/>
          <w:szCs w:val="32"/>
        </w:rPr>
        <w:t>注册临床试验：以疫苗上市注册为目的而进行的临床试验。</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 xml:space="preserve">2. </w:t>
      </w:r>
      <w:r w:rsidRPr="000A2825">
        <w:rPr>
          <w:rFonts w:eastAsia="仿宋_GB2312"/>
          <w:bCs/>
          <w:color w:val="000000"/>
          <w:kern w:val="0"/>
          <w:sz w:val="32"/>
          <w:szCs w:val="32"/>
        </w:rPr>
        <w:t>研究疫苗：指疫苗临床研发中所使用的任何疫苗，包括试验疫苗和对照疫苗。</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 xml:space="preserve">3. </w:t>
      </w:r>
      <w:r w:rsidRPr="000A2825">
        <w:rPr>
          <w:rFonts w:eastAsia="仿宋_GB2312"/>
          <w:bCs/>
          <w:color w:val="000000"/>
          <w:kern w:val="0"/>
          <w:sz w:val="32"/>
          <w:szCs w:val="32"/>
        </w:rPr>
        <w:t>等效性试验（</w:t>
      </w:r>
      <w:r w:rsidRPr="000A2825">
        <w:rPr>
          <w:rFonts w:eastAsia="仿宋_GB2312"/>
          <w:bCs/>
          <w:color w:val="000000"/>
          <w:kern w:val="0"/>
          <w:sz w:val="32"/>
          <w:szCs w:val="32"/>
        </w:rPr>
        <w:t>Equivalence Trial</w:t>
      </w:r>
      <w:r w:rsidRPr="000A2825">
        <w:rPr>
          <w:rFonts w:eastAsia="仿宋_GB2312"/>
          <w:bCs/>
          <w:color w:val="000000"/>
          <w:kern w:val="0"/>
          <w:sz w:val="32"/>
          <w:szCs w:val="32"/>
        </w:rPr>
        <w:t>）：是指主要目的为确认两种或多种疫苗预防效果的差别大小在临床上并无重要</w:t>
      </w:r>
      <w:r w:rsidRPr="000A2825">
        <w:rPr>
          <w:rFonts w:eastAsia="仿宋_GB2312"/>
          <w:bCs/>
          <w:color w:val="000000"/>
          <w:kern w:val="0"/>
          <w:sz w:val="32"/>
          <w:szCs w:val="32"/>
        </w:rPr>
        <w:lastRenderedPageBreak/>
        <w:t>意义的试验。通常以真正的效果差异落在临床上可接受的等效性界值上下限之间来表明等效性。</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 xml:space="preserve">4. </w:t>
      </w:r>
      <w:proofErr w:type="gramStart"/>
      <w:r w:rsidRPr="000A2825">
        <w:rPr>
          <w:rFonts w:eastAsia="仿宋_GB2312"/>
          <w:bCs/>
          <w:color w:val="000000"/>
          <w:kern w:val="0"/>
          <w:sz w:val="32"/>
          <w:szCs w:val="32"/>
        </w:rPr>
        <w:t>非劣效性</w:t>
      </w:r>
      <w:proofErr w:type="gramEnd"/>
      <w:r w:rsidRPr="000A2825">
        <w:rPr>
          <w:rFonts w:eastAsia="仿宋_GB2312"/>
          <w:bCs/>
          <w:color w:val="000000"/>
          <w:kern w:val="0"/>
          <w:sz w:val="32"/>
          <w:szCs w:val="32"/>
        </w:rPr>
        <w:t>试验（</w:t>
      </w:r>
      <w:r w:rsidRPr="000A2825">
        <w:rPr>
          <w:rFonts w:eastAsia="仿宋_GB2312"/>
          <w:bCs/>
          <w:color w:val="000000"/>
          <w:kern w:val="0"/>
          <w:sz w:val="32"/>
          <w:szCs w:val="32"/>
        </w:rPr>
        <w:t>Non-Inferiority Trial</w:t>
      </w:r>
      <w:r w:rsidRPr="000A2825">
        <w:rPr>
          <w:rFonts w:eastAsia="仿宋_GB2312"/>
          <w:bCs/>
          <w:color w:val="000000"/>
          <w:kern w:val="0"/>
          <w:sz w:val="32"/>
          <w:szCs w:val="32"/>
        </w:rPr>
        <w:t>，</w:t>
      </w:r>
      <w:r w:rsidRPr="000A2825">
        <w:rPr>
          <w:rFonts w:eastAsia="仿宋_GB2312"/>
          <w:bCs/>
          <w:color w:val="000000"/>
          <w:kern w:val="0"/>
          <w:sz w:val="32"/>
          <w:szCs w:val="32"/>
        </w:rPr>
        <w:t>NI</w:t>
      </w:r>
      <w:r w:rsidRPr="000A2825">
        <w:rPr>
          <w:rFonts w:eastAsia="仿宋_GB2312"/>
          <w:bCs/>
          <w:color w:val="000000"/>
          <w:kern w:val="0"/>
          <w:sz w:val="32"/>
          <w:szCs w:val="32"/>
        </w:rPr>
        <w:t>）：是指主要目的为显示疫苗作用在临床上不劣于对照疫苗的试验。</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 xml:space="preserve">5. </w:t>
      </w:r>
      <w:r w:rsidRPr="000A2825">
        <w:rPr>
          <w:rFonts w:eastAsia="仿宋_GB2312"/>
          <w:bCs/>
          <w:color w:val="000000"/>
          <w:kern w:val="0"/>
          <w:sz w:val="32"/>
          <w:szCs w:val="32"/>
        </w:rPr>
        <w:t>全分析集（</w:t>
      </w:r>
      <w:r w:rsidRPr="000A2825">
        <w:rPr>
          <w:rFonts w:eastAsia="仿宋_GB2312"/>
          <w:bCs/>
          <w:color w:val="000000"/>
          <w:kern w:val="0"/>
          <w:sz w:val="32"/>
          <w:szCs w:val="32"/>
        </w:rPr>
        <w:t>Full Analysis Set</w:t>
      </w:r>
      <w:r w:rsidRPr="000A2825">
        <w:rPr>
          <w:rFonts w:eastAsia="仿宋_GB2312"/>
          <w:bCs/>
          <w:color w:val="000000"/>
          <w:kern w:val="0"/>
          <w:sz w:val="32"/>
          <w:szCs w:val="32"/>
        </w:rPr>
        <w:t>，</w:t>
      </w:r>
      <w:r w:rsidRPr="000A2825">
        <w:rPr>
          <w:rFonts w:eastAsia="仿宋_GB2312"/>
          <w:bCs/>
          <w:color w:val="000000"/>
          <w:kern w:val="0"/>
          <w:sz w:val="32"/>
          <w:szCs w:val="32"/>
        </w:rPr>
        <w:t>FAS</w:t>
      </w:r>
      <w:r w:rsidRPr="000A2825">
        <w:rPr>
          <w:rFonts w:eastAsia="仿宋_GB2312"/>
          <w:bCs/>
          <w:color w:val="000000"/>
          <w:kern w:val="0"/>
          <w:sz w:val="32"/>
          <w:szCs w:val="32"/>
        </w:rPr>
        <w:t>）和易感者全分析集（</w:t>
      </w:r>
      <w:proofErr w:type="spellStart"/>
      <w:r w:rsidRPr="000A2825">
        <w:rPr>
          <w:rFonts w:eastAsia="仿宋_GB2312"/>
          <w:bCs/>
          <w:color w:val="000000"/>
          <w:kern w:val="0"/>
          <w:sz w:val="32"/>
          <w:szCs w:val="32"/>
        </w:rPr>
        <w:t>mFAS</w:t>
      </w:r>
      <w:proofErr w:type="spellEnd"/>
      <w:r w:rsidRPr="000A2825">
        <w:rPr>
          <w:rFonts w:eastAsia="仿宋_GB2312"/>
          <w:bCs/>
          <w:color w:val="000000"/>
          <w:kern w:val="0"/>
          <w:sz w:val="32"/>
          <w:szCs w:val="32"/>
        </w:rPr>
        <w:t>）：</w:t>
      </w:r>
      <w:r w:rsidRPr="000A2825">
        <w:rPr>
          <w:rFonts w:eastAsia="仿宋_GB2312"/>
          <w:bCs/>
          <w:color w:val="000000"/>
          <w:kern w:val="0"/>
          <w:sz w:val="32"/>
          <w:szCs w:val="32"/>
        </w:rPr>
        <w:t>FAS</w:t>
      </w:r>
      <w:r w:rsidRPr="000A2825">
        <w:rPr>
          <w:rFonts w:eastAsia="仿宋_GB2312"/>
          <w:bCs/>
          <w:color w:val="000000"/>
          <w:kern w:val="0"/>
          <w:sz w:val="32"/>
          <w:szCs w:val="32"/>
        </w:rPr>
        <w:t>是指尽可能接近符合意向性治疗原则的理想的受试者集。该数据集是从所有随机化的受试者中以最少的和合理的方法剔除受试者后得到。</w:t>
      </w:r>
      <w:proofErr w:type="spellStart"/>
      <w:r w:rsidRPr="000A2825">
        <w:rPr>
          <w:rFonts w:eastAsia="仿宋_GB2312"/>
          <w:bCs/>
          <w:color w:val="000000"/>
          <w:kern w:val="0"/>
          <w:sz w:val="32"/>
          <w:szCs w:val="32"/>
        </w:rPr>
        <w:t>mFAS</w:t>
      </w:r>
      <w:proofErr w:type="spellEnd"/>
      <w:r w:rsidRPr="000A2825">
        <w:rPr>
          <w:rFonts w:eastAsia="仿宋_GB2312"/>
          <w:bCs/>
          <w:color w:val="000000"/>
          <w:kern w:val="0"/>
          <w:sz w:val="32"/>
          <w:szCs w:val="32"/>
        </w:rPr>
        <w:t>是指由</w:t>
      </w:r>
      <w:r w:rsidRPr="000A2825">
        <w:rPr>
          <w:rFonts w:eastAsia="仿宋_GB2312"/>
          <w:bCs/>
          <w:color w:val="000000"/>
          <w:kern w:val="0"/>
          <w:sz w:val="32"/>
          <w:szCs w:val="32"/>
        </w:rPr>
        <w:t>FAS</w:t>
      </w:r>
      <w:r w:rsidRPr="000A2825">
        <w:rPr>
          <w:rFonts w:eastAsia="仿宋_GB2312"/>
          <w:bCs/>
          <w:color w:val="000000"/>
          <w:kern w:val="0"/>
          <w:sz w:val="32"/>
          <w:szCs w:val="32"/>
        </w:rPr>
        <w:t>集中所有易感者构成的数据集。</w:t>
      </w:r>
    </w:p>
    <w:p w:rsidR="004B36CB" w:rsidRPr="000A2825" w:rsidRDefault="004B36CB" w:rsidP="004B36CB">
      <w:pPr>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 xml:space="preserve">6. </w:t>
      </w:r>
      <w:r w:rsidRPr="000A2825">
        <w:rPr>
          <w:rFonts w:eastAsia="仿宋_GB2312"/>
          <w:bCs/>
          <w:color w:val="000000"/>
          <w:kern w:val="0"/>
          <w:sz w:val="32"/>
          <w:szCs w:val="32"/>
        </w:rPr>
        <w:t>符合方案数据集（</w:t>
      </w:r>
      <w:r w:rsidRPr="000A2825">
        <w:rPr>
          <w:rFonts w:eastAsia="仿宋_GB2312"/>
          <w:bCs/>
          <w:color w:val="000000"/>
          <w:kern w:val="0"/>
          <w:sz w:val="32"/>
          <w:szCs w:val="32"/>
        </w:rPr>
        <w:t>PPS</w:t>
      </w:r>
      <w:r w:rsidRPr="000A2825">
        <w:rPr>
          <w:rFonts w:eastAsia="仿宋_GB2312"/>
          <w:bCs/>
          <w:color w:val="000000"/>
          <w:kern w:val="0"/>
          <w:sz w:val="32"/>
          <w:szCs w:val="32"/>
        </w:rPr>
        <w:t>）和易感者符合方案数据集（</w:t>
      </w:r>
      <w:proofErr w:type="spellStart"/>
      <w:r w:rsidRPr="000A2825">
        <w:rPr>
          <w:rFonts w:eastAsia="仿宋_GB2312"/>
          <w:bCs/>
          <w:color w:val="000000"/>
          <w:kern w:val="0"/>
          <w:sz w:val="32"/>
          <w:szCs w:val="32"/>
        </w:rPr>
        <w:t>mPPS</w:t>
      </w:r>
      <w:proofErr w:type="spellEnd"/>
      <w:r w:rsidRPr="000A2825">
        <w:rPr>
          <w:rFonts w:eastAsia="仿宋_GB2312"/>
          <w:bCs/>
          <w:color w:val="000000"/>
          <w:kern w:val="0"/>
          <w:sz w:val="32"/>
          <w:szCs w:val="32"/>
        </w:rPr>
        <w:t>）：</w:t>
      </w:r>
      <w:r w:rsidRPr="000A2825">
        <w:rPr>
          <w:rFonts w:eastAsia="仿宋_GB2312"/>
          <w:bCs/>
          <w:color w:val="000000"/>
          <w:kern w:val="0"/>
          <w:sz w:val="32"/>
          <w:szCs w:val="32"/>
        </w:rPr>
        <w:t>PPS</w:t>
      </w:r>
      <w:r w:rsidRPr="000A2825">
        <w:rPr>
          <w:rFonts w:eastAsia="仿宋_GB2312"/>
          <w:bCs/>
          <w:color w:val="000000"/>
          <w:kern w:val="0"/>
          <w:sz w:val="32"/>
          <w:szCs w:val="32"/>
        </w:rPr>
        <w:t>是指由所有随机化入组且充分依从于试验方案者构成的数据集；</w:t>
      </w:r>
      <w:proofErr w:type="spellStart"/>
      <w:r w:rsidRPr="000A2825">
        <w:rPr>
          <w:rFonts w:eastAsia="仿宋_GB2312"/>
          <w:bCs/>
          <w:color w:val="000000"/>
          <w:kern w:val="0"/>
          <w:sz w:val="32"/>
          <w:szCs w:val="32"/>
        </w:rPr>
        <w:t>mPPS</w:t>
      </w:r>
      <w:proofErr w:type="spellEnd"/>
      <w:r w:rsidRPr="000A2825">
        <w:rPr>
          <w:rFonts w:eastAsia="仿宋_GB2312"/>
          <w:bCs/>
          <w:color w:val="000000"/>
          <w:kern w:val="0"/>
          <w:sz w:val="32"/>
          <w:szCs w:val="32"/>
        </w:rPr>
        <w:t>是指由所有</w:t>
      </w:r>
      <w:r w:rsidRPr="000A2825">
        <w:rPr>
          <w:rFonts w:eastAsia="仿宋_GB2312"/>
          <w:bCs/>
          <w:color w:val="000000"/>
          <w:kern w:val="0"/>
          <w:sz w:val="32"/>
          <w:szCs w:val="32"/>
        </w:rPr>
        <w:t>PPS</w:t>
      </w:r>
      <w:r w:rsidRPr="000A2825">
        <w:rPr>
          <w:rFonts w:eastAsia="仿宋_GB2312"/>
          <w:bCs/>
          <w:color w:val="000000"/>
          <w:kern w:val="0"/>
          <w:sz w:val="32"/>
          <w:szCs w:val="32"/>
        </w:rPr>
        <w:t>集中易感者构成的数据集。</w:t>
      </w:r>
    </w:p>
    <w:p w:rsidR="004B36CB" w:rsidRPr="000A2825" w:rsidRDefault="004B36CB" w:rsidP="004B36CB">
      <w:pPr>
        <w:spacing w:line="580" w:lineRule="exact"/>
        <w:ind w:firstLineChars="200" w:firstLine="640"/>
        <w:rPr>
          <w:rFonts w:eastAsia="仿宋_GB2312"/>
          <w:color w:val="000000"/>
          <w:sz w:val="32"/>
          <w:szCs w:val="32"/>
        </w:rPr>
      </w:pPr>
      <w:r w:rsidRPr="000A2825">
        <w:rPr>
          <w:rFonts w:eastAsia="仿宋_GB2312"/>
          <w:bCs/>
          <w:color w:val="000000"/>
          <w:kern w:val="0"/>
          <w:sz w:val="32"/>
          <w:szCs w:val="32"/>
        </w:rPr>
        <w:t xml:space="preserve">7. </w:t>
      </w:r>
      <w:proofErr w:type="gramStart"/>
      <w:r w:rsidRPr="000A2825">
        <w:rPr>
          <w:rFonts w:eastAsia="仿宋_GB2312"/>
          <w:sz w:val="32"/>
          <w:szCs w:val="32"/>
        </w:rPr>
        <w:t>源数据</w:t>
      </w:r>
      <w:proofErr w:type="gramEnd"/>
      <w:r w:rsidRPr="000A2825">
        <w:rPr>
          <w:rFonts w:eastAsia="仿宋_GB2312"/>
          <w:sz w:val="32"/>
          <w:szCs w:val="32"/>
        </w:rPr>
        <w:t>核查确认（</w:t>
      </w:r>
      <w:r w:rsidRPr="000A2825">
        <w:rPr>
          <w:rFonts w:eastAsia="仿宋_GB2312"/>
          <w:sz w:val="32"/>
          <w:szCs w:val="32"/>
        </w:rPr>
        <w:t>Source Data Verification</w:t>
      </w:r>
      <w:r w:rsidRPr="000A2825">
        <w:rPr>
          <w:rFonts w:eastAsia="仿宋_GB2312"/>
          <w:sz w:val="32"/>
          <w:szCs w:val="32"/>
        </w:rPr>
        <w:t>，</w:t>
      </w:r>
      <w:r w:rsidRPr="000A2825">
        <w:rPr>
          <w:rFonts w:eastAsia="仿宋_GB2312"/>
          <w:sz w:val="32"/>
          <w:szCs w:val="32"/>
        </w:rPr>
        <w:t>SDV</w:t>
      </w:r>
      <w:r w:rsidRPr="000A2825">
        <w:rPr>
          <w:rFonts w:eastAsia="仿宋_GB2312"/>
          <w:sz w:val="32"/>
          <w:szCs w:val="32"/>
        </w:rPr>
        <w:t>）：</w:t>
      </w:r>
      <w:r w:rsidRPr="000A2825">
        <w:rPr>
          <w:rFonts w:eastAsia="仿宋_GB2312"/>
          <w:color w:val="000000"/>
          <w:sz w:val="32"/>
          <w:szCs w:val="32"/>
        </w:rPr>
        <w:t>是</w:t>
      </w:r>
      <w:proofErr w:type="gramStart"/>
      <w:r w:rsidRPr="000A2825">
        <w:rPr>
          <w:rFonts w:eastAsia="仿宋_GB2312"/>
          <w:color w:val="000000"/>
          <w:sz w:val="32"/>
          <w:szCs w:val="32"/>
        </w:rPr>
        <w:t>指评价</w:t>
      </w:r>
      <w:proofErr w:type="gramEnd"/>
      <w:r w:rsidRPr="000A2825">
        <w:rPr>
          <w:rFonts w:eastAsia="仿宋_GB2312"/>
          <w:color w:val="000000"/>
          <w:sz w:val="32"/>
          <w:szCs w:val="32"/>
        </w:rPr>
        <w:t>记录在临床试验病例报告表中的数据与源数据一致性的行为，以确保所采集数据的完整性、准确性和可靠性，使得临床试验项目日后重现成为可能。</w:t>
      </w:r>
    </w:p>
    <w:p w:rsidR="004B36CB" w:rsidRPr="000A2825" w:rsidRDefault="004B36CB" w:rsidP="004B36CB">
      <w:pPr>
        <w:spacing w:line="580" w:lineRule="exact"/>
        <w:ind w:firstLineChars="200" w:firstLine="480"/>
        <w:rPr>
          <w:rFonts w:eastAsia="仿宋_GB2312"/>
          <w:color w:val="000000"/>
          <w:sz w:val="24"/>
          <w:u w:color="000000"/>
        </w:rPr>
      </w:pPr>
      <w:bookmarkStart w:id="73" w:name="_Toc409439894"/>
      <w:bookmarkStart w:id="74" w:name="_Toc409439945"/>
      <w:bookmarkStart w:id="75" w:name="_Toc409439969"/>
      <w:bookmarkStart w:id="76" w:name="_Toc429319329"/>
    </w:p>
    <w:bookmarkEnd w:id="73"/>
    <w:bookmarkEnd w:id="74"/>
    <w:bookmarkEnd w:id="75"/>
    <w:bookmarkEnd w:id="76"/>
    <w:p w:rsidR="004B36CB" w:rsidRPr="000A2825" w:rsidRDefault="004B36CB" w:rsidP="004B36CB">
      <w:pPr>
        <w:spacing w:line="580" w:lineRule="exact"/>
        <w:ind w:firstLineChars="200" w:firstLine="640"/>
        <w:rPr>
          <w:rFonts w:eastAsia="仿宋_GB2312"/>
          <w:bCs/>
          <w:kern w:val="0"/>
          <w:sz w:val="32"/>
          <w:szCs w:val="32"/>
        </w:rPr>
      </w:pPr>
      <w:r w:rsidRPr="000A2825">
        <w:rPr>
          <w:rFonts w:eastAsia="仿宋_GB2312"/>
          <w:bCs/>
          <w:kern w:val="0"/>
          <w:sz w:val="32"/>
          <w:szCs w:val="32"/>
        </w:rPr>
        <w:t>【参考文献】</w:t>
      </w:r>
    </w:p>
    <w:p w:rsidR="004B36CB" w:rsidRPr="000A2825" w:rsidRDefault="004B36CB" w:rsidP="004B36CB">
      <w:pPr>
        <w:numPr>
          <w:ilvl w:val="0"/>
          <w:numId w:val="1"/>
        </w:numPr>
        <w:adjustRightInd w:val="0"/>
        <w:spacing w:line="580" w:lineRule="exact"/>
        <w:ind w:left="0" w:firstLineChars="200" w:firstLine="640"/>
        <w:rPr>
          <w:rFonts w:eastAsia="仿宋_GB2312"/>
          <w:bCs/>
          <w:kern w:val="0"/>
          <w:sz w:val="32"/>
          <w:szCs w:val="32"/>
        </w:rPr>
      </w:pPr>
      <w:r w:rsidRPr="000A2825">
        <w:rPr>
          <w:rFonts w:eastAsia="仿宋_GB2312"/>
          <w:bCs/>
          <w:color w:val="000000"/>
          <w:kern w:val="0"/>
          <w:sz w:val="32"/>
          <w:szCs w:val="32"/>
        </w:rPr>
        <w:t>全国人大常委会</w:t>
      </w:r>
      <w:r w:rsidRPr="000A2825">
        <w:rPr>
          <w:rFonts w:eastAsia="仿宋_GB2312"/>
          <w:bCs/>
          <w:color w:val="000000"/>
          <w:kern w:val="0"/>
          <w:sz w:val="32"/>
          <w:szCs w:val="32"/>
        </w:rPr>
        <w:t xml:space="preserve">. </w:t>
      </w:r>
      <w:r w:rsidRPr="000A2825">
        <w:rPr>
          <w:rFonts w:eastAsia="仿宋_GB2312"/>
          <w:bCs/>
          <w:color w:val="000000"/>
          <w:kern w:val="0"/>
          <w:sz w:val="32"/>
          <w:szCs w:val="32"/>
        </w:rPr>
        <w:t>《中华人民共和国疫苗管理法》，</w:t>
      </w:r>
      <w:r w:rsidRPr="000A2825">
        <w:rPr>
          <w:rFonts w:eastAsia="仿宋_GB2312"/>
          <w:bCs/>
          <w:color w:val="000000"/>
          <w:kern w:val="0"/>
          <w:sz w:val="32"/>
          <w:szCs w:val="32"/>
        </w:rPr>
        <w:t>2019</w:t>
      </w:r>
      <w:r w:rsidRPr="000A2825">
        <w:rPr>
          <w:rFonts w:eastAsia="仿宋_GB2312"/>
          <w:bCs/>
          <w:color w:val="000000"/>
          <w:kern w:val="0"/>
          <w:sz w:val="32"/>
          <w:szCs w:val="32"/>
        </w:rPr>
        <w:t>年</w:t>
      </w:r>
      <w:r w:rsidRPr="000A2825">
        <w:rPr>
          <w:rFonts w:eastAsia="仿宋_GB2312"/>
          <w:bCs/>
          <w:color w:val="000000"/>
          <w:kern w:val="0"/>
          <w:sz w:val="32"/>
          <w:szCs w:val="32"/>
        </w:rPr>
        <w:t>6</w:t>
      </w:r>
      <w:r w:rsidRPr="000A2825">
        <w:rPr>
          <w:rFonts w:eastAsia="仿宋_GB2312"/>
          <w:bCs/>
          <w:color w:val="000000"/>
          <w:kern w:val="0"/>
          <w:sz w:val="32"/>
          <w:szCs w:val="32"/>
        </w:rPr>
        <w:t>月</w:t>
      </w:r>
      <w:r w:rsidRPr="000A2825">
        <w:rPr>
          <w:rFonts w:eastAsia="仿宋_GB2312"/>
          <w:bCs/>
          <w:color w:val="000000"/>
          <w:kern w:val="0"/>
          <w:sz w:val="32"/>
          <w:szCs w:val="32"/>
        </w:rPr>
        <w:t>29</w:t>
      </w:r>
      <w:r w:rsidRPr="000A2825">
        <w:rPr>
          <w:rFonts w:eastAsia="仿宋_GB2312"/>
          <w:bCs/>
          <w:color w:val="000000"/>
          <w:kern w:val="0"/>
          <w:sz w:val="32"/>
          <w:szCs w:val="32"/>
        </w:rPr>
        <w:t>日</w:t>
      </w:r>
      <w:r w:rsidRPr="000A2825">
        <w:rPr>
          <w:rFonts w:eastAsia="仿宋_GB2312"/>
          <w:bCs/>
          <w:color w:val="000000"/>
          <w:kern w:val="0"/>
          <w:sz w:val="32"/>
          <w:szCs w:val="32"/>
        </w:rPr>
        <w:t>.</w:t>
      </w:r>
      <w:r w:rsidRPr="000A2825">
        <w:rPr>
          <w:rFonts w:eastAsia="仿宋_GB2312"/>
          <w:bCs/>
          <w:kern w:val="0"/>
          <w:sz w:val="32"/>
          <w:szCs w:val="32"/>
        </w:rPr>
        <w:t>（</w:t>
      </w:r>
      <w:r w:rsidRPr="000A2825">
        <w:rPr>
          <w:rFonts w:eastAsia="仿宋_GB2312"/>
          <w:bCs/>
          <w:kern w:val="0"/>
          <w:sz w:val="32"/>
          <w:szCs w:val="32"/>
        </w:rPr>
        <w:t>http://www.npc.gov.cn/npc/c30834/201907/11447</w:t>
      </w:r>
      <w:r w:rsidRPr="000A2825">
        <w:rPr>
          <w:rFonts w:eastAsia="仿宋_GB2312" w:hint="eastAsia"/>
          <w:bCs/>
          <w:kern w:val="0"/>
          <w:sz w:val="32"/>
          <w:szCs w:val="32"/>
        </w:rPr>
        <w:t xml:space="preserve"> </w:t>
      </w:r>
      <w:r w:rsidRPr="000A2825">
        <w:rPr>
          <w:rFonts w:eastAsia="仿宋_GB2312"/>
          <w:bCs/>
          <w:kern w:val="0"/>
          <w:sz w:val="32"/>
          <w:szCs w:val="32"/>
        </w:rPr>
        <w:t>c85e</w:t>
      </w:r>
      <w:r w:rsidRPr="000A2825">
        <w:rPr>
          <w:rFonts w:eastAsia="仿宋_GB2312" w:hint="eastAsia"/>
          <w:bCs/>
          <w:kern w:val="0"/>
          <w:sz w:val="32"/>
          <w:szCs w:val="32"/>
        </w:rPr>
        <w:t xml:space="preserve"> </w:t>
      </w:r>
      <w:r w:rsidRPr="000A2825">
        <w:rPr>
          <w:rFonts w:eastAsia="仿宋_GB2312"/>
          <w:bCs/>
          <w:kern w:val="0"/>
          <w:sz w:val="32"/>
          <w:szCs w:val="32"/>
        </w:rPr>
        <w:t>05840b9b12c62b5b645fe9d.shtml</w:t>
      </w:r>
      <w:r w:rsidRPr="000A2825">
        <w:rPr>
          <w:rFonts w:eastAsia="仿宋_GB2312"/>
          <w:bCs/>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ICH.E2A-E2F. </w:t>
      </w:r>
      <w:r w:rsidRPr="000A2825">
        <w:rPr>
          <w:rFonts w:eastAsia="仿宋_GB2312"/>
          <w:bCs/>
          <w:color w:val="000000"/>
          <w:kern w:val="0"/>
          <w:sz w:val="32"/>
          <w:szCs w:val="32"/>
        </w:rPr>
        <w:lastRenderedPageBreak/>
        <w:t>（</w:t>
      </w:r>
      <w:r w:rsidRPr="000A2825">
        <w:rPr>
          <w:rFonts w:eastAsia="仿宋_GB2312"/>
          <w:bCs/>
          <w:color w:val="000000"/>
          <w:kern w:val="0"/>
          <w:sz w:val="32"/>
          <w:szCs w:val="32"/>
        </w:rPr>
        <w:t>https://www.ich.org/products/guidelines/</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efficacy/article/efficacy-guidelines.html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NMPA. CDE. E2A - E2F </w:t>
      </w:r>
      <w:proofErr w:type="spellStart"/>
      <w:r w:rsidRPr="000A2825">
        <w:rPr>
          <w:rFonts w:eastAsia="仿宋_GB2312"/>
          <w:bCs/>
          <w:color w:val="000000"/>
          <w:kern w:val="0"/>
          <w:sz w:val="32"/>
          <w:szCs w:val="32"/>
        </w:rPr>
        <w:t>Pharmacovigilance</w:t>
      </w:r>
      <w:proofErr w:type="spellEnd"/>
      <w:r w:rsidRPr="000A2825">
        <w:rPr>
          <w:rFonts w:eastAsia="仿宋_GB2312"/>
          <w:bCs/>
          <w:color w:val="000000"/>
          <w:kern w:val="0"/>
          <w:sz w:val="32"/>
          <w:szCs w:val="32"/>
        </w:rPr>
        <w:t>/</w:t>
      </w:r>
      <w:r w:rsidRPr="000A2825">
        <w:rPr>
          <w:rFonts w:eastAsia="仿宋_GB2312"/>
          <w:bCs/>
          <w:color w:val="000000"/>
          <w:kern w:val="0"/>
          <w:sz w:val="32"/>
          <w:szCs w:val="32"/>
        </w:rPr>
        <w:t>药物警戒（中文版）</w:t>
      </w:r>
      <w:r w:rsidRPr="000A2825">
        <w:rPr>
          <w:rFonts w:eastAsia="仿宋_GB2312"/>
          <w:bCs/>
          <w:color w:val="000000"/>
          <w:kern w:val="0"/>
          <w:sz w:val="32"/>
          <w:szCs w:val="32"/>
        </w:rPr>
        <w:t>.</w:t>
      </w:r>
      <w:r w:rsidRPr="000A2825">
        <w:rPr>
          <w:rFonts w:eastAsia="仿宋_GB2312"/>
          <w:bCs/>
          <w:color w:val="000000"/>
          <w:kern w:val="0"/>
          <w:sz w:val="32"/>
          <w:szCs w:val="32"/>
        </w:rPr>
        <w:t>（</w:t>
      </w:r>
      <w:r w:rsidRPr="000A2825">
        <w:rPr>
          <w:rFonts w:eastAsia="仿宋_GB2312"/>
          <w:bCs/>
          <w:color w:val="000000"/>
          <w:kern w:val="0"/>
          <w:sz w:val="32"/>
          <w:szCs w:val="32"/>
        </w:rPr>
        <w:t>http://www.cde.org.cn/guide.do?method=getIchTypeList</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&amp;type1=3</w:t>
      </w:r>
      <w:r w:rsidRPr="000A2825">
        <w:rPr>
          <w:rFonts w:eastAsia="仿宋_GB2312"/>
          <w:bCs/>
          <w:color w:val="000000"/>
          <w:kern w:val="0"/>
          <w:sz w:val="32"/>
          <w:szCs w:val="32"/>
        </w:rPr>
        <w:t>）</w:t>
      </w:r>
    </w:p>
    <w:p w:rsidR="004B36CB" w:rsidRPr="000A2825" w:rsidRDefault="004B36CB" w:rsidP="004B36CB">
      <w:pPr>
        <w:numPr>
          <w:ilvl w:val="0"/>
          <w:numId w:val="1"/>
        </w:numPr>
        <w:autoSpaceDE w:val="0"/>
        <w:autoSpaceDN w:val="0"/>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WHO.</w:t>
      </w:r>
      <w:bookmarkStart w:id="77" w:name="OLE_LINK7"/>
      <w:bookmarkStart w:id="78" w:name="OLE_LINK8"/>
      <w:r w:rsidRPr="000A2825">
        <w:rPr>
          <w:rFonts w:eastAsia="仿宋_GB2312"/>
          <w:bCs/>
          <w:color w:val="000000"/>
          <w:kern w:val="0"/>
          <w:sz w:val="32"/>
          <w:szCs w:val="32"/>
        </w:rPr>
        <w:t xml:space="preserve"> Guidelines on clinical evaluation of vaccines: regulatory expectations; TRS 1004</w:t>
      </w:r>
      <w:r w:rsidRPr="000A2825">
        <w:rPr>
          <w:rFonts w:eastAsia="仿宋_GB2312"/>
          <w:bCs/>
          <w:color w:val="000000"/>
          <w:kern w:val="0"/>
          <w:sz w:val="32"/>
          <w:szCs w:val="32"/>
        </w:rPr>
        <w:t>，</w:t>
      </w:r>
      <w:r w:rsidRPr="000A2825">
        <w:rPr>
          <w:rFonts w:eastAsia="仿宋_GB2312"/>
          <w:bCs/>
          <w:color w:val="000000"/>
          <w:kern w:val="0"/>
          <w:sz w:val="32"/>
          <w:szCs w:val="32"/>
        </w:rPr>
        <w:t>Annex9</w:t>
      </w:r>
      <w:bookmarkEnd w:id="77"/>
      <w:bookmarkEnd w:id="78"/>
      <w:r w:rsidRPr="000A2825">
        <w:rPr>
          <w:rFonts w:eastAsia="仿宋_GB2312"/>
          <w:bCs/>
          <w:color w:val="000000"/>
          <w:kern w:val="0"/>
          <w:sz w:val="32"/>
          <w:szCs w:val="32"/>
        </w:rPr>
        <w:t>，</w:t>
      </w:r>
      <w:r w:rsidRPr="000A2825">
        <w:rPr>
          <w:rFonts w:eastAsia="仿宋_GB2312"/>
          <w:bCs/>
          <w:color w:val="000000"/>
          <w:kern w:val="0"/>
          <w:sz w:val="32"/>
          <w:szCs w:val="32"/>
        </w:rPr>
        <w:t xml:space="preserve">June 2017. </w:t>
      </w:r>
      <w:r w:rsidRPr="000A2825">
        <w:rPr>
          <w:rFonts w:eastAsia="仿宋_GB2312"/>
          <w:bCs/>
          <w:color w:val="000000"/>
          <w:kern w:val="0"/>
          <w:sz w:val="32"/>
          <w:szCs w:val="32"/>
        </w:rPr>
        <w:t>（</w:t>
      </w:r>
      <w:r w:rsidRPr="000A2825">
        <w:rPr>
          <w:rFonts w:eastAsia="仿宋_GB2312"/>
          <w:bCs/>
          <w:color w:val="000000"/>
          <w:kern w:val="0"/>
          <w:sz w:val="32"/>
          <w:szCs w:val="32"/>
        </w:rPr>
        <w:t>https://www.who.int/biologicals/expert_committee/WHO_TRS_1004_web_Annex_9.pdf?ua=1</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关于进一步加强疫苗质量安全监管工作的通知</w:t>
      </w:r>
      <w:r w:rsidRPr="000A2825">
        <w:rPr>
          <w:rFonts w:eastAsia="仿宋_GB2312"/>
          <w:bCs/>
          <w:color w:val="000000"/>
          <w:kern w:val="0"/>
          <w:sz w:val="32"/>
          <w:szCs w:val="32"/>
        </w:rPr>
        <w:t xml:space="preserve">. </w:t>
      </w:r>
      <w:r w:rsidRPr="000A2825">
        <w:rPr>
          <w:rFonts w:eastAsia="仿宋_GB2312"/>
          <w:bCs/>
          <w:color w:val="000000"/>
          <w:kern w:val="0"/>
          <w:sz w:val="32"/>
          <w:szCs w:val="32"/>
        </w:rPr>
        <w:t>国</w:t>
      </w:r>
      <w:proofErr w:type="gramStart"/>
      <w:r w:rsidRPr="000A2825">
        <w:rPr>
          <w:rFonts w:eastAsia="仿宋_GB2312"/>
          <w:bCs/>
          <w:color w:val="000000"/>
          <w:kern w:val="0"/>
          <w:sz w:val="32"/>
          <w:szCs w:val="32"/>
        </w:rPr>
        <w:t>食药监注</w:t>
      </w:r>
      <w:proofErr w:type="gramEnd"/>
      <w:r w:rsidRPr="000A2825">
        <w:rPr>
          <w:rFonts w:eastAsia="仿宋_GB2312"/>
          <w:bCs/>
          <w:color w:val="000000"/>
          <w:kern w:val="0"/>
          <w:sz w:val="32"/>
          <w:szCs w:val="32"/>
        </w:rPr>
        <w:t>[2010]498</w:t>
      </w:r>
      <w:r w:rsidRPr="000A2825">
        <w:rPr>
          <w:rFonts w:eastAsia="仿宋_GB2312"/>
          <w:bCs/>
          <w:color w:val="000000"/>
          <w:kern w:val="0"/>
          <w:sz w:val="32"/>
          <w:szCs w:val="32"/>
        </w:rPr>
        <w:t>号，</w:t>
      </w:r>
      <w:r w:rsidRPr="000A2825">
        <w:rPr>
          <w:rFonts w:eastAsia="仿宋_GB2312"/>
          <w:bCs/>
          <w:color w:val="000000"/>
          <w:kern w:val="0"/>
          <w:sz w:val="32"/>
          <w:szCs w:val="32"/>
        </w:rPr>
        <w:t>2010</w:t>
      </w:r>
      <w:r w:rsidRPr="000A2825">
        <w:rPr>
          <w:rFonts w:eastAsia="仿宋_GB2312"/>
          <w:bCs/>
          <w:color w:val="000000"/>
          <w:kern w:val="0"/>
          <w:sz w:val="32"/>
          <w:szCs w:val="32"/>
        </w:rPr>
        <w:t>年</w:t>
      </w:r>
      <w:r w:rsidRPr="000A2825">
        <w:rPr>
          <w:rFonts w:eastAsia="仿宋_GB2312"/>
          <w:bCs/>
          <w:color w:val="000000"/>
          <w:kern w:val="0"/>
          <w:sz w:val="32"/>
          <w:szCs w:val="32"/>
        </w:rPr>
        <w:t>12</w:t>
      </w:r>
      <w:r w:rsidRPr="000A2825">
        <w:rPr>
          <w:rFonts w:eastAsia="仿宋_GB2312"/>
          <w:bCs/>
          <w:color w:val="000000"/>
          <w:kern w:val="0"/>
          <w:sz w:val="32"/>
          <w:szCs w:val="32"/>
        </w:rPr>
        <w:t>月</w:t>
      </w:r>
      <w:r w:rsidRPr="000A2825">
        <w:rPr>
          <w:rFonts w:eastAsia="仿宋_GB2312"/>
          <w:bCs/>
          <w:color w:val="000000"/>
          <w:kern w:val="0"/>
          <w:sz w:val="32"/>
          <w:szCs w:val="32"/>
        </w:rPr>
        <w:t>31</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cfda.gov.cn/WS01/CL0844/57856.html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药品临床试验质量管理规范（</w:t>
      </w:r>
      <w:r w:rsidRPr="000A2825">
        <w:rPr>
          <w:rFonts w:eastAsia="仿宋_GB2312"/>
          <w:bCs/>
          <w:color w:val="000000"/>
          <w:kern w:val="0"/>
          <w:sz w:val="32"/>
          <w:szCs w:val="32"/>
        </w:rPr>
        <w:t>Good Clinical Practice</w:t>
      </w:r>
      <w:r w:rsidRPr="000A2825">
        <w:rPr>
          <w:rFonts w:eastAsia="仿宋_GB2312"/>
          <w:bCs/>
          <w:color w:val="000000"/>
          <w:kern w:val="0"/>
          <w:sz w:val="32"/>
          <w:szCs w:val="32"/>
        </w:rPr>
        <w:t>，</w:t>
      </w:r>
      <w:r w:rsidRPr="000A2825">
        <w:rPr>
          <w:rFonts w:eastAsia="仿宋_GB2312"/>
          <w:bCs/>
          <w:color w:val="000000"/>
          <w:kern w:val="0"/>
          <w:sz w:val="32"/>
          <w:szCs w:val="32"/>
        </w:rPr>
        <w:t>GCP</w:t>
      </w:r>
      <w:r w:rsidRPr="000A2825">
        <w:rPr>
          <w:rFonts w:eastAsia="仿宋_GB2312"/>
          <w:bCs/>
          <w:color w:val="000000"/>
          <w:kern w:val="0"/>
          <w:sz w:val="32"/>
          <w:szCs w:val="32"/>
        </w:rPr>
        <w:t>），</w:t>
      </w:r>
      <w:r w:rsidRPr="000A2825">
        <w:rPr>
          <w:rFonts w:eastAsia="仿宋_GB2312"/>
          <w:bCs/>
          <w:color w:val="000000"/>
          <w:kern w:val="0"/>
          <w:sz w:val="32"/>
          <w:szCs w:val="32"/>
        </w:rPr>
        <w:t>2003</w:t>
      </w:r>
      <w:r w:rsidRPr="000A2825">
        <w:rPr>
          <w:rFonts w:eastAsia="仿宋_GB2312"/>
          <w:bCs/>
          <w:color w:val="000000"/>
          <w:kern w:val="0"/>
          <w:sz w:val="32"/>
          <w:szCs w:val="32"/>
        </w:rPr>
        <w:t>年</w:t>
      </w:r>
      <w:r w:rsidRPr="000A2825">
        <w:rPr>
          <w:rFonts w:eastAsia="仿宋_GB2312"/>
          <w:bCs/>
          <w:color w:val="000000"/>
          <w:kern w:val="0"/>
          <w:sz w:val="32"/>
          <w:szCs w:val="32"/>
        </w:rPr>
        <w:t>08</w:t>
      </w:r>
      <w:r w:rsidRPr="000A2825">
        <w:rPr>
          <w:rFonts w:eastAsia="仿宋_GB2312"/>
          <w:bCs/>
          <w:color w:val="000000"/>
          <w:kern w:val="0"/>
          <w:sz w:val="32"/>
          <w:szCs w:val="32"/>
        </w:rPr>
        <w:t>月</w:t>
      </w:r>
      <w:r w:rsidRPr="000A2825">
        <w:rPr>
          <w:rFonts w:eastAsia="仿宋_GB2312"/>
          <w:bCs/>
          <w:color w:val="000000"/>
          <w:kern w:val="0"/>
          <w:sz w:val="32"/>
          <w:szCs w:val="32"/>
        </w:rPr>
        <w:t>06</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/WS01/CL0053/24473.html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疫苗临床试验技术指导原则（更新修订中），</w:t>
      </w:r>
      <w:r w:rsidRPr="000A2825">
        <w:rPr>
          <w:rFonts w:eastAsia="仿宋_GB2312"/>
          <w:bCs/>
          <w:color w:val="000000"/>
          <w:kern w:val="0"/>
          <w:sz w:val="32"/>
          <w:szCs w:val="32"/>
        </w:rPr>
        <w:t>2004</w:t>
      </w:r>
      <w:r w:rsidRPr="000A2825">
        <w:rPr>
          <w:rFonts w:eastAsia="仿宋_GB2312"/>
          <w:bCs/>
          <w:color w:val="000000"/>
          <w:kern w:val="0"/>
          <w:sz w:val="32"/>
          <w:szCs w:val="32"/>
        </w:rPr>
        <w:t>年</w:t>
      </w:r>
      <w:r w:rsidRPr="000A2825">
        <w:rPr>
          <w:rFonts w:eastAsia="仿宋_GB2312"/>
          <w:bCs/>
          <w:color w:val="000000"/>
          <w:kern w:val="0"/>
          <w:sz w:val="32"/>
          <w:szCs w:val="32"/>
        </w:rPr>
        <w:t>12</w:t>
      </w:r>
      <w:r w:rsidRPr="000A2825">
        <w:rPr>
          <w:rFonts w:eastAsia="仿宋_GB2312"/>
          <w:bCs/>
          <w:color w:val="000000"/>
          <w:kern w:val="0"/>
          <w:sz w:val="32"/>
          <w:szCs w:val="32"/>
        </w:rPr>
        <w:t>月</w:t>
      </w:r>
      <w:r w:rsidRPr="000A2825">
        <w:rPr>
          <w:rFonts w:eastAsia="仿宋_GB2312"/>
          <w:bCs/>
          <w:color w:val="000000"/>
          <w:kern w:val="0"/>
          <w:sz w:val="32"/>
          <w:szCs w:val="32"/>
        </w:rPr>
        <w:t>03</w:t>
      </w:r>
      <w:r w:rsidRPr="000A2825">
        <w:rPr>
          <w:rFonts w:eastAsia="仿宋_GB2312"/>
          <w:bCs/>
          <w:color w:val="000000"/>
          <w:kern w:val="0"/>
          <w:sz w:val="32"/>
          <w:szCs w:val="32"/>
        </w:rPr>
        <w:t>日</w:t>
      </w:r>
      <w:r w:rsidRPr="000A2825">
        <w:rPr>
          <w:rFonts w:eastAsia="仿宋_GB2312"/>
          <w:bCs/>
          <w:color w:val="000000"/>
          <w:kern w:val="0"/>
          <w:sz w:val="32"/>
          <w:szCs w:val="32"/>
        </w:rPr>
        <w:t>.</w:t>
      </w:r>
      <w:r w:rsidRPr="000A2825">
        <w:rPr>
          <w:rFonts w:eastAsia="仿宋_GB2312"/>
          <w:bCs/>
          <w:color w:val="000000"/>
          <w:kern w:val="0"/>
          <w:sz w:val="32"/>
          <w:szCs w:val="32"/>
        </w:rPr>
        <w:t>（</w:t>
      </w:r>
      <w:r w:rsidRPr="000A2825">
        <w:rPr>
          <w:rFonts w:eastAsia="仿宋_GB2312"/>
          <w:bCs/>
          <w:color w:val="000000"/>
          <w:kern w:val="0"/>
          <w:sz w:val="32"/>
          <w:szCs w:val="32"/>
        </w:rPr>
        <w:t>http://samr.cfda.gov.cn/WS01/CL1616/</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83398.html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预防用疫苗临床试验的不良事件分级标准指导原则（待发布）</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药品注册管理办法，</w:t>
      </w:r>
      <w:r w:rsidRPr="000A2825">
        <w:rPr>
          <w:rFonts w:eastAsia="仿宋_GB2312"/>
          <w:bCs/>
          <w:color w:val="000000"/>
          <w:kern w:val="0"/>
          <w:sz w:val="32"/>
          <w:szCs w:val="32"/>
        </w:rPr>
        <w:t>2007</w:t>
      </w:r>
      <w:r w:rsidRPr="000A2825">
        <w:rPr>
          <w:rFonts w:eastAsia="仿宋_GB2312"/>
          <w:bCs/>
          <w:color w:val="000000"/>
          <w:kern w:val="0"/>
          <w:sz w:val="32"/>
          <w:szCs w:val="32"/>
        </w:rPr>
        <w:t>年</w:t>
      </w:r>
      <w:r w:rsidRPr="000A2825">
        <w:rPr>
          <w:rFonts w:eastAsia="仿宋_GB2312"/>
          <w:bCs/>
          <w:color w:val="000000"/>
          <w:kern w:val="0"/>
          <w:sz w:val="32"/>
          <w:szCs w:val="32"/>
        </w:rPr>
        <w:t>07</w:t>
      </w:r>
      <w:r w:rsidRPr="000A2825">
        <w:rPr>
          <w:rFonts w:eastAsia="仿宋_GB2312"/>
          <w:bCs/>
          <w:color w:val="000000"/>
          <w:kern w:val="0"/>
          <w:sz w:val="32"/>
          <w:szCs w:val="32"/>
        </w:rPr>
        <w:t>月</w:t>
      </w:r>
      <w:r w:rsidRPr="000A2825">
        <w:rPr>
          <w:rFonts w:eastAsia="仿宋_GB2312"/>
          <w:bCs/>
          <w:color w:val="000000"/>
          <w:kern w:val="0"/>
          <w:sz w:val="32"/>
          <w:szCs w:val="32"/>
        </w:rPr>
        <w:t>10</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http://samr.cfda.gov.cn/WS01/CL0053/24529.html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疫苗临床试验质量管理指导原则（试行），</w:t>
      </w:r>
      <w:r w:rsidRPr="000A2825">
        <w:rPr>
          <w:rFonts w:eastAsia="仿宋_GB2312"/>
          <w:bCs/>
          <w:color w:val="000000"/>
          <w:kern w:val="0"/>
          <w:sz w:val="32"/>
          <w:szCs w:val="32"/>
        </w:rPr>
        <w:lastRenderedPageBreak/>
        <w:t>2013</w:t>
      </w:r>
      <w:r w:rsidRPr="000A2825">
        <w:rPr>
          <w:rFonts w:eastAsia="仿宋_GB2312"/>
          <w:bCs/>
          <w:color w:val="000000"/>
          <w:kern w:val="0"/>
          <w:sz w:val="32"/>
          <w:szCs w:val="32"/>
        </w:rPr>
        <w:t>年</w:t>
      </w:r>
      <w:r w:rsidRPr="000A2825">
        <w:rPr>
          <w:rFonts w:eastAsia="仿宋_GB2312"/>
          <w:bCs/>
          <w:color w:val="000000"/>
          <w:kern w:val="0"/>
          <w:sz w:val="32"/>
          <w:szCs w:val="32"/>
        </w:rPr>
        <w:t>10</w:t>
      </w:r>
      <w:r w:rsidRPr="000A2825">
        <w:rPr>
          <w:rFonts w:eastAsia="仿宋_GB2312"/>
          <w:bCs/>
          <w:color w:val="000000"/>
          <w:kern w:val="0"/>
          <w:sz w:val="32"/>
          <w:szCs w:val="32"/>
        </w:rPr>
        <w:t>月</w:t>
      </w:r>
      <w:r w:rsidRPr="000A2825">
        <w:rPr>
          <w:rFonts w:eastAsia="仿宋_GB2312"/>
          <w:bCs/>
          <w:color w:val="000000"/>
          <w:kern w:val="0"/>
          <w:sz w:val="32"/>
          <w:szCs w:val="32"/>
        </w:rPr>
        <w:t>31</w:t>
      </w:r>
      <w:r w:rsidRPr="000A2825">
        <w:rPr>
          <w:rFonts w:eastAsia="仿宋_GB2312"/>
          <w:bCs/>
          <w:color w:val="000000"/>
          <w:kern w:val="0"/>
          <w:sz w:val="32"/>
          <w:szCs w:val="32"/>
        </w:rPr>
        <w:t>日</w:t>
      </w:r>
      <w:r w:rsidRPr="000A2825">
        <w:rPr>
          <w:rFonts w:eastAsia="仿宋_GB2312"/>
          <w:bCs/>
          <w:color w:val="000000"/>
          <w:kern w:val="0"/>
          <w:sz w:val="32"/>
          <w:szCs w:val="32"/>
        </w:rPr>
        <w:t>.</w:t>
      </w:r>
    </w:p>
    <w:p w:rsidR="004B36CB" w:rsidRPr="000A2825" w:rsidRDefault="004B36CB" w:rsidP="004B36CB">
      <w:pPr>
        <w:adjustRightInd w:val="0"/>
        <w:spacing w:line="580" w:lineRule="exact"/>
        <w:ind w:firstLineChars="200" w:firstLine="640"/>
        <w:rPr>
          <w:rFonts w:eastAsia="仿宋_GB2312"/>
          <w:bCs/>
          <w:color w:val="000000"/>
          <w:kern w:val="0"/>
          <w:sz w:val="32"/>
          <w:szCs w:val="32"/>
        </w:rPr>
      </w:pPr>
      <w:r w:rsidRPr="000A2825">
        <w:rPr>
          <w:rFonts w:eastAsia="仿宋_GB2312"/>
          <w:bCs/>
          <w:color w:val="000000"/>
          <w:kern w:val="0"/>
          <w:sz w:val="32"/>
          <w:szCs w:val="32"/>
        </w:rPr>
        <w:t>（</w:t>
      </w:r>
      <w:r w:rsidRPr="000A2825">
        <w:rPr>
          <w:rFonts w:eastAsia="仿宋_GB2312"/>
          <w:bCs/>
          <w:color w:val="000000"/>
          <w:kern w:val="0"/>
          <w:sz w:val="32"/>
          <w:szCs w:val="32"/>
        </w:rPr>
        <w:t>http://samr.cfda.gov.cn/WS01/CL0844/93865.html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疫苗临床试验严重不良事件报告管理规定（试行），</w:t>
      </w:r>
      <w:r w:rsidRPr="000A2825">
        <w:rPr>
          <w:rFonts w:eastAsia="仿宋_GB2312"/>
          <w:bCs/>
          <w:color w:val="000000"/>
          <w:kern w:val="0"/>
          <w:sz w:val="32"/>
          <w:szCs w:val="32"/>
        </w:rPr>
        <w:t>2014</w:t>
      </w:r>
      <w:r w:rsidRPr="000A2825">
        <w:rPr>
          <w:rFonts w:eastAsia="仿宋_GB2312"/>
          <w:bCs/>
          <w:color w:val="000000"/>
          <w:kern w:val="0"/>
          <w:sz w:val="32"/>
          <w:szCs w:val="32"/>
        </w:rPr>
        <w:t>年</w:t>
      </w:r>
      <w:r w:rsidRPr="000A2825">
        <w:rPr>
          <w:rFonts w:eastAsia="仿宋_GB2312"/>
          <w:bCs/>
          <w:color w:val="000000"/>
          <w:kern w:val="0"/>
          <w:sz w:val="32"/>
          <w:szCs w:val="32"/>
        </w:rPr>
        <w:t>01</w:t>
      </w:r>
      <w:r w:rsidRPr="000A2825">
        <w:rPr>
          <w:rFonts w:eastAsia="仿宋_GB2312"/>
          <w:bCs/>
          <w:color w:val="000000"/>
          <w:kern w:val="0"/>
          <w:sz w:val="32"/>
          <w:szCs w:val="32"/>
        </w:rPr>
        <w:t>月</w:t>
      </w:r>
      <w:r w:rsidRPr="000A2825">
        <w:rPr>
          <w:rFonts w:eastAsia="仿宋_GB2312"/>
          <w:bCs/>
          <w:color w:val="000000"/>
          <w:kern w:val="0"/>
          <w:sz w:val="32"/>
          <w:szCs w:val="32"/>
        </w:rPr>
        <w:t>17</w:t>
      </w:r>
      <w:r w:rsidRPr="000A2825">
        <w:rPr>
          <w:rFonts w:eastAsia="仿宋_GB2312"/>
          <w:bCs/>
          <w:color w:val="000000"/>
          <w:kern w:val="0"/>
          <w:sz w:val="32"/>
          <w:szCs w:val="32"/>
        </w:rPr>
        <w:t>日</w:t>
      </w:r>
      <w:r w:rsidRPr="000A2825">
        <w:rPr>
          <w:rFonts w:eastAsia="仿宋_GB2312"/>
          <w:bCs/>
          <w:color w:val="000000"/>
          <w:kern w:val="0"/>
          <w:sz w:val="32"/>
          <w:szCs w:val="32"/>
        </w:rPr>
        <w:t>.</w:t>
      </w:r>
      <w:r w:rsidRPr="000A2825">
        <w:rPr>
          <w:rFonts w:eastAsia="仿宋_GB2312"/>
          <w:bCs/>
          <w:color w:val="000000"/>
          <w:kern w:val="0"/>
          <w:sz w:val="32"/>
          <w:szCs w:val="32"/>
        </w:rPr>
        <w:t>（</w:t>
      </w:r>
      <w:r w:rsidRPr="000A2825">
        <w:rPr>
          <w:rFonts w:eastAsia="仿宋_GB2312"/>
          <w:bCs/>
          <w:color w:val="000000"/>
          <w:kern w:val="0"/>
          <w:sz w:val="32"/>
          <w:szCs w:val="32"/>
        </w:rPr>
        <w:t>http://samr.cfda.gov.cn/WS01/</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CL0844/96405.html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CDE. </w:t>
      </w:r>
      <w:r w:rsidRPr="000A2825">
        <w:rPr>
          <w:rFonts w:eastAsia="仿宋_GB2312"/>
          <w:bCs/>
          <w:color w:val="000000"/>
          <w:kern w:val="0"/>
          <w:sz w:val="32"/>
          <w:szCs w:val="32"/>
        </w:rPr>
        <w:t>生物制品质量控制分析方法验证技术审评一般原则</w:t>
      </w:r>
      <w:r w:rsidRPr="000A2825">
        <w:rPr>
          <w:rFonts w:eastAsia="仿宋_GB2312"/>
          <w:bCs/>
          <w:color w:val="000000"/>
          <w:kern w:val="0"/>
          <w:sz w:val="32"/>
          <w:szCs w:val="32"/>
        </w:rPr>
        <w:t>. 2005</w:t>
      </w:r>
      <w:r w:rsidRPr="000A2825">
        <w:rPr>
          <w:rFonts w:eastAsia="仿宋_GB2312"/>
          <w:bCs/>
          <w:color w:val="000000"/>
          <w:kern w:val="0"/>
          <w:sz w:val="32"/>
          <w:szCs w:val="32"/>
        </w:rPr>
        <w:t>年</w:t>
      </w:r>
      <w:r w:rsidRPr="000A2825">
        <w:rPr>
          <w:rFonts w:eastAsia="仿宋_GB2312"/>
          <w:bCs/>
          <w:color w:val="000000"/>
          <w:kern w:val="0"/>
          <w:sz w:val="32"/>
          <w:szCs w:val="32"/>
        </w:rPr>
        <w:t>12</w:t>
      </w:r>
      <w:r w:rsidRPr="000A2825">
        <w:rPr>
          <w:rFonts w:eastAsia="仿宋_GB2312"/>
          <w:bCs/>
          <w:color w:val="000000"/>
          <w:kern w:val="0"/>
          <w:sz w:val="32"/>
          <w:szCs w:val="32"/>
        </w:rPr>
        <w:t>月</w:t>
      </w:r>
      <w:r w:rsidRPr="000A2825">
        <w:rPr>
          <w:rFonts w:eastAsia="仿宋_GB2312"/>
          <w:bCs/>
          <w:color w:val="000000"/>
          <w:kern w:val="0"/>
          <w:sz w:val="32"/>
          <w:szCs w:val="32"/>
        </w:rPr>
        <w:t>08</w:t>
      </w:r>
      <w:r w:rsidRPr="000A2825">
        <w:rPr>
          <w:rFonts w:eastAsia="仿宋_GB2312"/>
          <w:bCs/>
          <w:color w:val="000000"/>
          <w:kern w:val="0"/>
          <w:sz w:val="32"/>
          <w:szCs w:val="32"/>
        </w:rPr>
        <w:t>日</w:t>
      </w:r>
      <w:r w:rsidRPr="000A2825">
        <w:rPr>
          <w:rFonts w:eastAsia="仿宋_GB2312"/>
          <w:bCs/>
          <w:color w:val="000000"/>
          <w:kern w:val="0"/>
          <w:sz w:val="32"/>
          <w:szCs w:val="32"/>
        </w:rPr>
        <w:t>.</w:t>
      </w:r>
      <w:r w:rsidRPr="000A2825">
        <w:rPr>
          <w:rFonts w:eastAsia="仿宋_GB2312"/>
          <w:bCs/>
          <w:color w:val="000000"/>
          <w:kern w:val="0"/>
          <w:sz w:val="32"/>
          <w:szCs w:val="32"/>
        </w:rPr>
        <w:t>（</w:t>
      </w:r>
      <w:hyperlink r:id="rId5" w:history="1">
        <w:r w:rsidRPr="000A2825">
          <w:rPr>
            <w:rStyle w:val="a3"/>
            <w:rFonts w:eastAsia="仿宋_GB2312"/>
            <w:bCs/>
            <w:color w:val="000000"/>
            <w:kern w:val="0"/>
            <w:sz w:val="32"/>
            <w:szCs w:val="32"/>
          </w:rPr>
          <w:t>http://www.cde.org.cn/dzkw.do</w:t>
        </w:r>
      </w:hyperlink>
      <w:r w:rsidRPr="000A2825">
        <w:rPr>
          <w:rFonts w:eastAsia="仿宋_GB2312"/>
          <w:bCs/>
          <w:color w:val="000000"/>
          <w:kern w:val="0"/>
          <w:sz w:val="32"/>
          <w:szCs w:val="32"/>
        </w:rPr>
        <w:t>?</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method=</w:t>
      </w:r>
      <w:proofErr w:type="spellStart"/>
      <w:r w:rsidRPr="000A2825">
        <w:rPr>
          <w:rFonts w:eastAsia="仿宋_GB2312"/>
          <w:bCs/>
          <w:color w:val="000000"/>
          <w:kern w:val="0"/>
          <w:sz w:val="32"/>
          <w:szCs w:val="32"/>
        </w:rPr>
        <w:t>largePage&amp;id</w:t>
      </w:r>
      <w:proofErr w:type="spellEnd"/>
      <w:r w:rsidRPr="000A2825">
        <w:rPr>
          <w:rFonts w:eastAsia="仿宋_GB2312"/>
          <w:bCs/>
          <w:color w:val="000000"/>
          <w:kern w:val="0"/>
          <w:sz w:val="32"/>
          <w:szCs w:val="32"/>
        </w:rPr>
        <w:t>=288</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药物临床试验生物样本分析实验室管理指南（试行），</w:t>
      </w:r>
      <w:r w:rsidRPr="000A2825">
        <w:rPr>
          <w:rFonts w:eastAsia="仿宋_GB2312"/>
          <w:bCs/>
          <w:color w:val="000000"/>
          <w:kern w:val="0"/>
          <w:sz w:val="32"/>
          <w:szCs w:val="32"/>
        </w:rPr>
        <w:t>2011</w:t>
      </w:r>
      <w:r w:rsidRPr="000A2825">
        <w:rPr>
          <w:rFonts w:eastAsia="仿宋_GB2312"/>
          <w:bCs/>
          <w:color w:val="000000"/>
          <w:kern w:val="0"/>
          <w:sz w:val="32"/>
          <w:szCs w:val="32"/>
        </w:rPr>
        <w:t>年</w:t>
      </w:r>
      <w:r w:rsidRPr="000A2825">
        <w:rPr>
          <w:rFonts w:eastAsia="仿宋_GB2312"/>
          <w:bCs/>
          <w:color w:val="000000"/>
          <w:kern w:val="0"/>
          <w:sz w:val="32"/>
          <w:szCs w:val="32"/>
        </w:rPr>
        <w:t>12</w:t>
      </w:r>
      <w:r w:rsidRPr="000A2825">
        <w:rPr>
          <w:rFonts w:eastAsia="仿宋_GB2312"/>
          <w:bCs/>
          <w:color w:val="000000"/>
          <w:kern w:val="0"/>
          <w:sz w:val="32"/>
          <w:szCs w:val="32"/>
        </w:rPr>
        <w:t>月</w:t>
      </w:r>
      <w:r w:rsidRPr="000A2825">
        <w:rPr>
          <w:rFonts w:eastAsia="仿宋_GB2312"/>
          <w:bCs/>
          <w:color w:val="000000"/>
          <w:kern w:val="0"/>
          <w:sz w:val="32"/>
          <w:szCs w:val="32"/>
        </w:rPr>
        <w:t>02</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http://samr.cfda.gov.cn/WS01/CL0844/</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67395.html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药品定期安全性更新报告撰写规范，</w:t>
      </w:r>
      <w:r w:rsidRPr="000A2825">
        <w:rPr>
          <w:rFonts w:eastAsia="仿宋_GB2312"/>
          <w:bCs/>
          <w:color w:val="000000"/>
          <w:kern w:val="0"/>
          <w:sz w:val="32"/>
          <w:szCs w:val="32"/>
        </w:rPr>
        <w:t>2012</w:t>
      </w:r>
      <w:r w:rsidRPr="000A2825">
        <w:rPr>
          <w:rFonts w:eastAsia="仿宋_GB2312"/>
          <w:bCs/>
          <w:color w:val="000000"/>
          <w:kern w:val="0"/>
          <w:sz w:val="32"/>
          <w:szCs w:val="32"/>
        </w:rPr>
        <w:t>年</w:t>
      </w:r>
      <w:r w:rsidRPr="000A2825">
        <w:rPr>
          <w:rFonts w:eastAsia="仿宋_GB2312"/>
          <w:bCs/>
          <w:color w:val="000000"/>
          <w:kern w:val="0"/>
          <w:sz w:val="32"/>
          <w:szCs w:val="32"/>
        </w:rPr>
        <w:t>09</w:t>
      </w:r>
      <w:r w:rsidRPr="000A2825">
        <w:rPr>
          <w:rFonts w:eastAsia="仿宋_GB2312"/>
          <w:bCs/>
          <w:color w:val="000000"/>
          <w:kern w:val="0"/>
          <w:sz w:val="32"/>
          <w:szCs w:val="32"/>
        </w:rPr>
        <w:t>月</w:t>
      </w:r>
      <w:r w:rsidRPr="000A2825">
        <w:rPr>
          <w:rFonts w:eastAsia="仿宋_GB2312"/>
          <w:bCs/>
          <w:color w:val="000000"/>
          <w:kern w:val="0"/>
          <w:sz w:val="32"/>
          <w:szCs w:val="32"/>
        </w:rPr>
        <w:t>06</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http://samr.cfda.gov.cn/WS01/CL0844/74864.html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疫苗生产场地变更质量可比性研究技术指导原则，</w:t>
      </w:r>
      <w:r w:rsidRPr="000A2825">
        <w:rPr>
          <w:rFonts w:eastAsia="仿宋_GB2312"/>
          <w:bCs/>
          <w:color w:val="000000"/>
          <w:kern w:val="0"/>
          <w:sz w:val="32"/>
          <w:szCs w:val="32"/>
        </w:rPr>
        <w:t>2014</w:t>
      </w:r>
      <w:r w:rsidRPr="000A2825">
        <w:rPr>
          <w:rFonts w:eastAsia="仿宋_GB2312"/>
          <w:bCs/>
          <w:color w:val="000000"/>
          <w:kern w:val="0"/>
          <w:sz w:val="32"/>
          <w:szCs w:val="32"/>
        </w:rPr>
        <w:t>年</w:t>
      </w:r>
      <w:r w:rsidRPr="000A2825">
        <w:rPr>
          <w:rFonts w:eastAsia="仿宋_GB2312"/>
          <w:bCs/>
          <w:color w:val="000000"/>
          <w:kern w:val="0"/>
          <w:sz w:val="32"/>
          <w:szCs w:val="32"/>
        </w:rPr>
        <w:t>01</w:t>
      </w:r>
      <w:r w:rsidRPr="000A2825">
        <w:rPr>
          <w:rFonts w:eastAsia="仿宋_GB2312"/>
          <w:bCs/>
          <w:color w:val="000000"/>
          <w:kern w:val="0"/>
          <w:sz w:val="32"/>
          <w:szCs w:val="32"/>
        </w:rPr>
        <w:t>月</w:t>
      </w:r>
      <w:r w:rsidRPr="000A2825">
        <w:rPr>
          <w:rFonts w:eastAsia="仿宋_GB2312"/>
          <w:bCs/>
          <w:color w:val="000000"/>
          <w:kern w:val="0"/>
          <w:sz w:val="32"/>
          <w:szCs w:val="32"/>
        </w:rPr>
        <w:t>08</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http://samr.cfda.gov.cn/WS01/CL0844/</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95968.html</w:t>
      </w:r>
      <w:r w:rsidRPr="000A2825">
        <w:rPr>
          <w:rFonts w:eastAsia="仿宋_GB2312"/>
          <w:bCs/>
          <w:color w:val="000000"/>
          <w:kern w:val="0"/>
          <w:sz w:val="32"/>
          <w:szCs w:val="32"/>
        </w:rPr>
        <w:t>）</w:t>
      </w:r>
    </w:p>
    <w:p w:rsidR="004B36CB" w:rsidRPr="000A2825" w:rsidRDefault="004B36CB" w:rsidP="004B36CB">
      <w:pPr>
        <w:numPr>
          <w:ilvl w:val="0"/>
          <w:numId w:val="1"/>
        </w:numPr>
        <w:autoSpaceDE w:val="0"/>
        <w:autoSpaceDN w:val="0"/>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药物临床试验的生物统计学指导原则，</w:t>
      </w:r>
      <w:r w:rsidRPr="000A2825">
        <w:rPr>
          <w:rFonts w:eastAsia="仿宋_GB2312"/>
          <w:bCs/>
          <w:color w:val="000000"/>
          <w:kern w:val="0"/>
          <w:sz w:val="32"/>
          <w:szCs w:val="32"/>
        </w:rPr>
        <w:t>2016</w:t>
      </w:r>
      <w:r w:rsidRPr="000A2825">
        <w:rPr>
          <w:rFonts w:eastAsia="仿宋_GB2312"/>
          <w:bCs/>
          <w:color w:val="000000"/>
          <w:kern w:val="0"/>
          <w:sz w:val="32"/>
          <w:szCs w:val="32"/>
        </w:rPr>
        <w:t>年</w:t>
      </w:r>
      <w:r w:rsidRPr="000A2825">
        <w:rPr>
          <w:rFonts w:eastAsia="仿宋_GB2312"/>
          <w:bCs/>
          <w:color w:val="000000"/>
          <w:kern w:val="0"/>
          <w:sz w:val="32"/>
          <w:szCs w:val="32"/>
        </w:rPr>
        <w:t>06</w:t>
      </w:r>
      <w:r w:rsidRPr="000A2825">
        <w:rPr>
          <w:rFonts w:eastAsia="仿宋_GB2312"/>
          <w:bCs/>
          <w:color w:val="000000"/>
          <w:kern w:val="0"/>
          <w:sz w:val="32"/>
          <w:szCs w:val="32"/>
        </w:rPr>
        <w:t>月</w:t>
      </w:r>
      <w:r w:rsidRPr="000A2825">
        <w:rPr>
          <w:rFonts w:eastAsia="仿宋_GB2312"/>
          <w:bCs/>
          <w:color w:val="000000"/>
          <w:kern w:val="0"/>
          <w:sz w:val="32"/>
          <w:szCs w:val="32"/>
        </w:rPr>
        <w:t>03</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http://samr.cfda.gov.cn/WS01/CL0087/154780.html</w:t>
      </w:r>
      <w:r w:rsidRPr="000A2825">
        <w:rPr>
          <w:rFonts w:eastAsia="仿宋_GB2312"/>
          <w:bCs/>
          <w:color w:val="000000"/>
          <w:kern w:val="0"/>
          <w:sz w:val="32"/>
          <w:szCs w:val="32"/>
        </w:rPr>
        <w:t>）</w:t>
      </w:r>
    </w:p>
    <w:p w:rsidR="004B36CB" w:rsidRPr="000A2825" w:rsidRDefault="004B36CB" w:rsidP="004B36CB">
      <w:pPr>
        <w:numPr>
          <w:ilvl w:val="0"/>
          <w:numId w:val="1"/>
        </w:numPr>
        <w:autoSpaceDE w:val="0"/>
        <w:autoSpaceDN w:val="0"/>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临床试验数据管理工作技术指南，</w:t>
      </w:r>
      <w:r w:rsidRPr="000A2825">
        <w:rPr>
          <w:rFonts w:eastAsia="仿宋_GB2312"/>
          <w:bCs/>
          <w:color w:val="000000"/>
          <w:kern w:val="0"/>
          <w:sz w:val="32"/>
          <w:szCs w:val="32"/>
        </w:rPr>
        <w:t>2016</w:t>
      </w:r>
      <w:r w:rsidRPr="000A2825">
        <w:rPr>
          <w:rFonts w:eastAsia="仿宋_GB2312"/>
          <w:bCs/>
          <w:color w:val="000000"/>
          <w:kern w:val="0"/>
          <w:sz w:val="32"/>
          <w:szCs w:val="32"/>
        </w:rPr>
        <w:t>年</w:t>
      </w:r>
      <w:r w:rsidRPr="000A2825">
        <w:rPr>
          <w:rFonts w:eastAsia="仿宋_GB2312"/>
          <w:bCs/>
          <w:color w:val="000000"/>
          <w:kern w:val="0"/>
          <w:sz w:val="32"/>
          <w:szCs w:val="32"/>
        </w:rPr>
        <w:t>07</w:t>
      </w:r>
      <w:r w:rsidRPr="000A2825">
        <w:rPr>
          <w:rFonts w:eastAsia="仿宋_GB2312"/>
          <w:bCs/>
          <w:color w:val="000000"/>
          <w:kern w:val="0"/>
          <w:sz w:val="32"/>
          <w:szCs w:val="32"/>
        </w:rPr>
        <w:t>月</w:t>
      </w:r>
      <w:r w:rsidRPr="000A2825">
        <w:rPr>
          <w:rFonts w:eastAsia="仿宋_GB2312"/>
          <w:bCs/>
          <w:color w:val="000000"/>
          <w:kern w:val="0"/>
          <w:sz w:val="32"/>
          <w:szCs w:val="32"/>
        </w:rPr>
        <w:t>29</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http://samr.cfda.gov.cn/WS01/CL0087/160961.html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临床试验的电子数据采集（</w:t>
      </w:r>
      <w:r w:rsidRPr="000A2825">
        <w:rPr>
          <w:rFonts w:eastAsia="仿宋_GB2312"/>
          <w:bCs/>
          <w:color w:val="000000"/>
          <w:kern w:val="0"/>
          <w:sz w:val="32"/>
          <w:szCs w:val="32"/>
        </w:rPr>
        <w:t>EDC</w:t>
      </w:r>
      <w:r w:rsidRPr="000A2825">
        <w:rPr>
          <w:rFonts w:eastAsia="仿宋_GB2312"/>
          <w:bCs/>
          <w:color w:val="000000"/>
          <w:kern w:val="0"/>
          <w:sz w:val="32"/>
          <w:szCs w:val="32"/>
        </w:rPr>
        <w:t>）技术指导原则，</w:t>
      </w:r>
      <w:r w:rsidRPr="000A2825">
        <w:rPr>
          <w:rFonts w:eastAsia="仿宋_GB2312"/>
          <w:bCs/>
          <w:color w:val="000000"/>
          <w:kern w:val="0"/>
          <w:sz w:val="32"/>
          <w:szCs w:val="32"/>
        </w:rPr>
        <w:t>2016</w:t>
      </w:r>
      <w:r w:rsidRPr="000A2825">
        <w:rPr>
          <w:rFonts w:eastAsia="仿宋_GB2312"/>
          <w:bCs/>
          <w:color w:val="000000"/>
          <w:kern w:val="0"/>
          <w:sz w:val="32"/>
          <w:szCs w:val="32"/>
        </w:rPr>
        <w:t>年</w:t>
      </w:r>
      <w:r w:rsidRPr="000A2825">
        <w:rPr>
          <w:rFonts w:eastAsia="仿宋_GB2312"/>
          <w:bCs/>
          <w:color w:val="000000"/>
          <w:kern w:val="0"/>
          <w:sz w:val="32"/>
          <w:szCs w:val="32"/>
        </w:rPr>
        <w:t>07</w:t>
      </w:r>
      <w:r w:rsidRPr="000A2825">
        <w:rPr>
          <w:rFonts w:eastAsia="仿宋_GB2312"/>
          <w:bCs/>
          <w:color w:val="000000"/>
          <w:kern w:val="0"/>
          <w:sz w:val="32"/>
          <w:szCs w:val="32"/>
        </w:rPr>
        <w:t>月</w:t>
      </w:r>
      <w:r w:rsidRPr="000A2825">
        <w:rPr>
          <w:rFonts w:eastAsia="仿宋_GB2312"/>
          <w:bCs/>
          <w:color w:val="000000"/>
          <w:kern w:val="0"/>
          <w:sz w:val="32"/>
          <w:szCs w:val="32"/>
        </w:rPr>
        <w:t>29</w:t>
      </w:r>
      <w:r w:rsidRPr="000A2825">
        <w:rPr>
          <w:rFonts w:eastAsia="仿宋_GB2312"/>
          <w:bCs/>
          <w:color w:val="000000"/>
          <w:kern w:val="0"/>
          <w:sz w:val="32"/>
          <w:szCs w:val="32"/>
        </w:rPr>
        <w:t>日</w:t>
      </w:r>
      <w:r w:rsidRPr="000A2825">
        <w:rPr>
          <w:rFonts w:eastAsia="仿宋_GB2312"/>
          <w:bCs/>
          <w:color w:val="000000"/>
          <w:kern w:val="0"/>
          <w:sz w:val="32"/>
          <w:szCs w:val="32"/>
        </w:rPr>
        <w:t>.</w:t>
      </w:r>
      <w:r w:rsidRPr="000A2825">
        <w:rPr>
          <w:rFonts w:eastAsia="仿宋_GB2312"/>
          <w:bCs/>
          <w:color w:val="000000"/>
          <w:kern w:val="0"/>
          <w:sz w:val="32"/>
          <w:szCs w:val="32"/>
        </w:rPr>
        <w:lastRenderedPageBreak/>
        <w:t>（</w:t>
      </w:r>
      <w:r w:rsidRPr="000A2825">
        <w:rPr>
          <w:rFonts w:eastAsia="仿宋_GB2312"/>
          <w:bCs/>
          <w:color w:val="000000"/>
          <w:kern w:val="0"/>
          <w:sz w:val="32"/>
          <w:szCs w:val="32"/>
        </w:rPr>
        <w:t>http://samr.cfda.gov.cn/WS01/CL0087/</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160963.html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 xml:space="preserve">CFDA. </w:t>
      </w:r>
      <w:r w:rsidRPr="000A2825">
        <w:rPr>
          <w:rFonts w:eastAsia="仿宋_GB2312"/>
          <w:bCs/>
          <w:color w:val="000000"/>
          <w:kern w:val="0"/>
          <w:sz w:val="32"/>
          <w:szCs w:val="32"/>
        </w:rPr>
        <w:t>药物临床试验数据管理和统计分析的计划和报告指导原则，</w:t>
      </w:r>
      <w:r w:rsidRPr="000A2825">
        <w:rPr>
          <w:rFonts w:eastAsia="仿宋_GB2312"/>
          <w:bCs/>
          <w:color w:val="000000"/>
          <w:kern w:val="0"/>
          <w:sz w:val="32"/>
          <w:szCs w:val="32"/>
        </w:rPr>
        <w:t>2016</w:t>
      </w:r>
      <w:r w:rsidRPr="000A2825">
        <w:rPr>
          <w:rFonts w:eastAsia="仿宋_GB2312"/>
          <w:bCs/>
          <w:color w:val="000000"/>
          <w:kern w:val="0"/>
          <w:sz w:val="32"/>
          <w:szCs w:val="32"/>
        </w:rPr>
        <w:t>年</w:t>
      </w:r>
      <w:r w:rsidRPr="000A2825">
        <w:rPr>
          <w:rFonts w:eastAsia="仿宋_GB2312"/>
          <w:bCs/>
          <w:color w:val="000000"/>
          <w:kern w:val="0"/>
          <w:sz w:val="32"/>
          <w:szCs w:val="32"/>
        </w:rPr>
        <w:t>07</w:t>
      </w:r>
      <w:r w:rsidRPr="000A2825">
        <w:rPr>
          <w:rFonts w:eastAsia="仿宋_GB2312"/>
          <w:bCs/>
          <w:color w:val="000000"/>
          <w:kern w:val="0"/>
          <w:sz w:val="32"/>
          <w:szCs w:val="32"/>
        </w:rPr>
        <w:t>月</w:t>
      </w:r>
      <w:r w:rsidRPr="000A2825">
        <w:rPr>
          <w:rFonts w:eastAsia="仿宋_GB2312"/>
          <w:bCs/>
          <w:color w:val="000000"/>
          <w:kern w:val="0"/>
          <w:sz w:val="32"/>
          <w:szCs w:val="32"/>
        </w:rPr>
        <w:t>29</w:t>
      </w:r>
      <w:r w:rsidRPr="000A2825">
        <w:rPr>
          <w:rFonts w:eastAsia="仿宋_GB2312"/>
          <w:bCs/>
          <w:color w:val="000000"/>
          <w:kern w:val="0"/>
          <w:sz w:val="32"/>
          <w:szCs w:val="32"/>
        </w:rPr>
        <w:t>日</w:t>
      </w:r>
      <w:r w:rsidRPr="000A2825">
        <w:rPr>
          <w:rFonts w:eastAsia="仿宋_GB2312"/>
          <w:bCs/>
          <w:color w:val="000000"/>
          <w:kern w:val="0"/>
          <w:sz w:val="32"/>
          <w:szCs w:val="32"/>
        </w:rPr>
        <w:t xml:space="preserve">. </w:t>
      </w:r>
      <w:r w:rsidRPr="000A2825">
        <w:rPr>
          <w:rFonts w:eastAsia="仿宋_GB2312"/>
          <w:bCs/>
          <w:color w:val="000000"/>
          <w:kern w:val="0"/>
          <w:sz w:val="32"/>
          <w:szCs w:val="32"/>
        </w:rPr>
        <w:t>（</w:t>
      </w:r>
      <w:r w:rsidRPr="000A2825">
        <w:rPr>
          <w:rFonts w:eastAsia="仿宋_GB2312"/>
          <w:bCs/>
          <w:color w:val="000000"/>
          <w:kern w:val="0"/>
          <w:sz w:val="32"/>
          <w:szCs w:val="32"/>
        </w:rPr>
        <w:t>http://samr.cfda.gov.cn/WS01/</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CL0087/160962.html</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proofErr w:type="spellStart"/>
      <w:r w:rsidRPr="000A2825">
        <w:rPr>
          <w:rFonts w:eastAsia="仿宋_GB2312"/>
          <w:bCs/>
          <w:color w:val="000000"/>
          <w:kern w:val="0"/>
          <w:sz w:val="32"/>
          <w:szCs w:val="32"/>
        </w:rPr>
        <w:t>Jos</w:t>
      </w:r>
      <w:proofErr w:type="spellEnd"/>
      <w:r w:rsidRPr="000A2825">
        <w:rPr>
          <w:rFonts w:eastAsia="仿宋_GB2312"/>
          <w:bCs/>
          <w:color w:val="000000"/>
          <w:kern w:val="0"/>
          <w:sz w:val="32"/>
          <w:szCs w:val="32"/>
        </w:rPr>
        <w:t xml:space="preserve"> </w:t>
      </w:r>
      <w:proofErr w:type="spellStart"/>
      <w:r w:rsidRPr="000A2825">
        <w:rPr>
          <w:rFonts w:eastAsia="仿宋_GB2312"/>
          <w:bCs/>
          <w:color w:val="000000"/>
          <w:kern w:val="0"/>
          <w:sz w:val="32"/>
          <w:szCs w:val="32"/>
        </w:rPr>
        <w:t>Nauta</w:t>
      </w:r>
      <w:proofErr w:type="spellEnd"/>
      <w:r w:rsidRPr="000A2825">
        <w:rPr>
          <w:rFonts w:eastAsia="仿宋_GB2312"/>
          <w:bCs/>
          <w:color w:val="000000"/>
          <w:kern w:val="0"/>
          <w:sz w:val="32"/>
          <w:szCs w:val="32"/>
        </w:rPr>
        <w:t>，</w:t>
      </w:r>
      <w:r w:rsidRPr="000A2825">
        <w:rPr>
          <w:rFonts w:eastAsia="仿宋_GB2312"/>
          <w:bCs/>
          <w:color w:val="000000"/>
          <w:kern w:val="0"/>
          <w:sz w:val="32"/>
          <w:szCs w:val="32"/>
        </w:rPr>
        <w:t>Statistics in Clinical Vaccine Trials. ISBN978-</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3-642-1469-9</w:t>
      </w:r>
      <w:r w:rsidRPr="000A2825">
        <w:rPr>
          <w:rFonts w:eastAsia="仿宋_GB2312"/>
          <w:bCs/>
          <w:color w:val="000000"/>
          <w:kern w:val="0"/>
          <w:sz w:val="32"/>
          <w:szCs w:val="32"/>
        </w:rPr>
        <w:t>，</w:t>
      </w:r>
      <w:r w:rsidRPr="000A2825">
        <w:rPr>
          <w:rFonts w:eastAsia="仿宋_GB2312"/>
          <w:bCs/>
          <w:color w:val="000000"/>
          <w:kern w:val="0"/>
          <w:sz w:val="32"/>
          <w:szCs w:val="32"/>
        </w:rPr>
        <w:t>2010.</w:t>
      </w:r>
    </w:p>
    <w:p w:rsidR="004B36CB" w:rsidRPr="000A2825" w:rsidRDefault="004B36CB" w:rsidP="004B36CB">
      <w:pPr>
        <w:numPr>
          <w:ilvl w:val="0"/>
          <w:numId w:val="1"/>
        </w:numPr>
        <w:adjustRightInd w:val="0"/>
        <w:spacing w:line="580" w:lineRule="exact"/>
        <w:ind w:left="0" w:firstLineChars="200" w:firstLine="696"/>
        <w:rPr>
          <w:rFonts w:eastAsia="仿宋_GB2312"/>
          <w:bCs/>
          <w:color w:val="000000"/>
          <w:kern w:val="0"/>
          <w:sz w:val="32"/>
          <w:szCs w:val="32"/>
        </w:rPr>
      </w:pPr>
      <w:r w:rsidRPr="00A438A7">
        <w:rPr>
          <w:rFonts w:eastAsia="仿宋_GB2312"/>
          <w:bCs/>
          <w:color w:val="000000"/>
          <w:spacing w:val="14"/>
          <w:kern w:val="0"/>
          <w:sz w:val="32"/>
          <w:szCs w:val="32"/>
        </w:rPr>
        <w:t>ICH. PHARMACEUTICAL QUALITY SYSTEM Q10</w:t>
      </w:r>
      <w:r w:rsidRPr="00A438A7">
        <w:rPr>
          <w:rFonts w:eastAsia="仿宋_GB2312"/>
          <w:bCs/>
          <w:color w:val="000000"/>
          <w:spacing w:val="14"/>
          <w:kern w:val="0"/>
          <w:sz w:val="32"/>
          <w:szCs w:val="32"/>
        </w:rPr>
        <w:t>，</w:t>
      </w:r>
      <w:r w:rsidRPr="00A438A7">
        <w:rPr>
          <w:rFonts w:eastAsia="仿宋_GB2312"/>
          <w:spacing w:val="14"/>
          <w:sz w:val="32"/>
          <w:szCs w:val="32"/>
        </w:rPr>
        <w:t>June 2008</w:t>
      </w:r>
      <w:r w:rsidRPr="00A438A7">
        <w:rPr>
          <w:rFonts w:eastAsia="仿宋_GB2312"/>
          <w:bCs/>
          <w:color w:val="000000"/>
          <w:spacing w:val="14"/>
          <w:kern w:val="0"/>
          <w:sz w:val="32"/>
          <w:szCs w:val="32"/>
        </w:rPr>
        <w:t>.</w:t>
      </w:r>
      <w:r w:rsidRPr="000A2825">
        <w:rPr>
          <w:rFonts w:eastAsia="仿宋_GB2312"/>
          <w:bCs/>
          <w:color w:val="000000"/>
          <w:kern w:val="0"/>
          <w:sz w:val="32"/>
          <w:szCs w:val="32"/>
        </w:rPr>
        <w:t>（</w:t>
      </w:r>
      <w:r w:rsidRPr="000A2825">
        <w:rPr>
          <w:rFonts w:eastAsia="仿宋_GB2312"/>
          <w:bCs/>
          <w:color w:val="000000"/>
          <w:kern w:val="0"/>
          <w:sz w:val="32"/>
          <w:szCs w:val="32"/>
        </w:rPr>
        <w:t>https://database.ich.org/sites/default/files/Q10_</w:t>
      </w:r>
      <w:r>
        <w:rPr>
          <w:rFonts w:eastAsia="仿宋_GB2312" w:hint="eastAsia"/>
          <w:bCs/>
          <w:color w:val="000000"/>
          <w:kern w:val="0"/>
          <w:sz w:val="32"/>
          <w:szCs w:val="32"/>
        </w:rPr>
        <w:t xml:space="preserve"> </w:t>
      </w:r>
      <w:r w:rsidRPr="000A2825">
        <w:rPr>
          <w:rFonts w:eastAsia="仿宋_GB2312"/>
          <w:bCs/>
          <w:color w:val="000000"/>
          <w:kern w:val="0"/>
          <w:sz w:val="32"/>
          <w:szCs w:val="32"/>
        </w:rPr>
        <w:t>Guideline.pdf</w:t>
      </w:r>
      <w:r w:rsidRPr="000A2825">
        <w:rPr>
          <w:rFonts w:eastAsia="仿宋_GB2312"/>
          <w:bCs/>
          <w:color w:val="000000"/>
          <w:kern w:val="0"/>
          <w:sz w:val="32"/>
          <w:szCs w:val="32"/>
        </w:rPr>
        <w:t>）</w:t>
      </w:r>
    </w:p>
    <w:p w:rsidR="004B36CB" w:rsidRPr="000A2825" w:rsidRDefault="004B36CB" w:rsidP="004B36CB">
      <w:pPr>
        <w:numPr>
          <w:ilvl w:val="0"/>
          <w:numId w:val="1"/>
        </w:numPr>
        <w:adjustRightInd w:val="0"/>
        <w:spacing w:line="580" w:lineRule="exact"/>
        <w:ind w:left="0" w:firstLineChars="200" w:firstLine="640"/>
        <w:rPr>
          <w:rFonts w:eastAsia="仿宋_GB2312"/>
          <w:bCs/>
          <w:color w:val="000000"/>
          <w:kern w:val="0"/>
          <w:sz w:val="32"/>
          <w:szCs w:val="32"/>
        </w:rPr>
      </w:pPr>
      <w:r w:rsidRPr="000A2825">
        <w:rPr>
          <w:rFonts w:eastAsia="仿宋_GB2312"/>
          <w:bCs/>
          <w:color w:val="000000"/>
          <w:kern w:val="0"/>
          <w:sz w:val="32"/>
          <w:szCs w:val="32"/>
        </w:rPr>
        <w:t>EMA. Guideline on process validation for the manufacture of biotechnology-derived active substances and data to be provided in the regulatory submission</w:t>
      </w:r>
      <w:r w:rsidRPr="000A2825">
        <w:rPr>
          <w:rFonts w:eastAsia="仿宋_GB2312"/>
          <w:bCs/>
          <w:color w:val="000000"/>
          <w:kern w:val="0"/>
          <w:sz w:val="32"/>
          <w:szCs w:val="32"/>
        </w:rPr>
        <w:t>，</w:t>
      </w:r>
      <w:r w:rsidRPr="000A2825">
        <w:rPr>
          <w:rFonts w:eastAsia="仿宋_GB2312"/>
          <w:bCs/>
          <w:color w:val="000000"/>
          <w:kern w:val="0"/>
          <w:sz w:val="32"/>
          <w:szCs w:val="32"/>
        </w:rPr>
        <w:t>April 2016.</w:t>
      </w:r>
      <w:r w:rsidRPr="000A2825">
        <w:rPr>
          <w:rFonts w:eastAsia="仿宋_GB2312"/>
          <w:bCs/>
          <w:color w:val="000000"/>
          <w:kern w:val="0"/>
          <w:sz w:val="32"/>
          <w:szCs w:val="32"/>
        </w:rPr>
        <w:t>（</w:t>
      </w:r>
      <w:r w:rsidRPr="000A2825">
        <w:rPr>
          <w:rFonts w:eastAsia="仿宋_GB2312"/>
          <w:sz w:val="32"/>
          <w:szCs w:val="32"/>
        </w:rPr>
        <w:t>https://www.</w:t>
      </w:r>
      <w:r w:rsidRPr="000A2825">
        <w:rPr>
          <w:rFonts w:eastAsia="仿宋_GB2312" w:hint="eastAsia"/>
          <w:sz w:val="32"/>
          <w:szCs w:val="32"/>
        </w:rPr>
        <w:t xml:space="preserve"> </w:t>
      </w:r>
      <w:r w:rsidRPr="000A2825">
        <w:rPr>
          <w:rFonts w:eastAsia="仿宋_GB2312"/>
          <w:sz w:val="32"/>
          <w:szCs w:val="32"/>
        </w:rPr>
        <w:t>ema.europa.eu/en/documents/scientific-guideline/guideline-process-validation-manufacture-biotechnology-derived-active-substances-data-be-provided_en.pdf</w:t>
      </w:r>
      <w:r w:rsidRPr="000A2825">
        <w:rPr>
          <w:rFonts w:eastAsia="仿宋_GB2312"/>
          <w:bCs/>
          <w:color w:val="000000"/>
          <w:kern w:val="0"/>
          <w:sz w:val="32"/>
          <w:szCs w:val="32"/>
        </w:rPr>
        <w:t>）</w:t>
      </w:r>
    </w:p>
    <w:p w:rsidR="004B36CB" w:rsidRPr="000A2825" w:rsidRDefault="004B36CB" w:rsidP="004B36CB">
      <w:pPr>
        <w:numPr>
          <w:ilvl w:val="0"/>
          <w:numId w:val="1"/>
        </w:numPr>
        <w:adjustRightInd w:val="0"/>
        <w:snapToGrid w:val="0"/>
        <w:spacing w:line="580" w:lineRule="exact"/>
        <w:ind w:left="0" w:firstLineChars="200" w:firstLine="640"/>
        <w:rPr>
          <w:rFonts w:eastAsia="等线"/>
          <w:sz w:val="32"/>
          <w:szCs w:val="32"/>
        </w:rPr>
      </w:pPr>
      <w:r w:rsidRPr="000A2825">
        <w:rPr>
          <w:rFonts w:eastAsia="仿宋_GB2312"/>
          <w:bCs/>
          <w:color w:val="000000"/>
          <w:kern w:val="0"/>
          <w:sz w:val="32"/>
          <w:szCs w:val="32"/>
        </w:rPr>
        <w:t xml:space="preserve">FDA. </w:t>
      </w:r>
      <w:proofErr w:type="spellStart"/>
      <w:r w:rsidRPr="000A2825">
        <w:rPr>
          <w:rFonts w:eastAsia="仿宋_GB2312"/>
          <w:bCs/>
          <w:color w:val="000000"/>
          <w:kern w:val="0"/>
          <w:sz w:val="32"/>
          <w:szCs w:val="32"/>
        </w:rPr>
        <w:t>Bioanalytical</w:t>
      </w:r>
      <w:proofErr w:type="spellEnd"/>
      <w:r w:rsidRPr="000A2825">
        <w:rPr>
          <w:rFonts w:eastAsia="仿宋_GB2312"/>
          <w:bCs/>
          <w:color w:val="000000"/>
          <w:kern w:val="0"/>
          <w:sz w:val="32"/>
          <w:szCs w:val="32"/>
        </w:rPr>
        <w:t xml:space="preserve"> Method Validation. 2018 </w:t>
      </w:r>
      <w:r w:rsidRPr="000A2825">
        <w:rPr>
          <w:rFonts w:eastAsia="仿宋_GB2312"/>
          <w:bCs/>
          <w:color w:val="000000"/>
          <w:kern w:val="0"/>
          <w:sz w:val="32"/>
          <w:szCs w:val="32"/>
        </w:rPr>
        <w:t>（</w:t>
      </w:r>
      <w:hyperlink r:id="rId6" w:tgtFrame="_blank" w:history="1">
        <w:r w:rsidRPr="000A2825">
          <w:rPr>
            <w:rFonts w:eastAsia="仿宋_GB2312"/>
            <w:bCs/>
            <w:color w:val="000000"/>
            <w:kern w:val="0"/>
            <w:sz w:val="32"/>
            <w:szCs w:val="32"/>
          </w:rPr>
          <w:t>https://</w:t>
        </w:r>
        <w:r w:rsidRPr="000A2825">
          <w:rPr>
            <w:rFonts w:eastAsia="仿宋_GB2312" w:hint="eastAsia"/>
            <w:bCs/>
            <w:color w:val="000000"/>
            <w:kern w:val="0"/>
            <w:sz w:val="32"/>
            <w:szCs w:val="32"/>
          </w:rPr>
          <w:t xml:space="preserve"> </w:t>
        </w:r>
        <w:r w:rsidRPr="000A2825">
          <w:rPr>
            <w:rFonts w:eastAsia="仿宋_GB2312"/>
            <w:bCs/>
            <w:color w:val="000000"/>
            <w:kern w:val="0"/>
            <w:sz w:val="32"/>
            <w:szCs w:val="32"/>
          </w:rPr>
          <w:t>www.fda.gov/media/70858/download</w:t>
        </w:r>
      </w:hyperlink>
      <w:r w:rsidRPr="000A2825">
        <w:rPr>
          <w:rFonts w:eastAsia="仿宋_GB2312"/>
          <w:bCs/>
          <w:color w:val="000000"/>
          <w:kern w:val="0"/>
          <w:sz w:val="32"/>
          <w:szCs w:val="32"/>
        </w:rPr>
        <w:t>）</w:t>
      </w:r>
    </w:p>
    <w:p w:rsidR="004B018B" w:rsidRPr="004B36CB" w:rsidRDefault="004B018B"/>
    <w:sectPr w:rsidR="004B018B" w:rsidRPr="004B36CB"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等线">
    <w:altName w:val="宋体"/>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179A"/>
    <w:multiLevelType w:val="hybridMultilevel"/>
    <w:tmpl w:val="F1B69DD2"/>
    <w:lvl w:ilvl="0" w:tplc="93ACDA22">
      <w:start w:val="1"/>
      <w:numFmt w:val="decimal"/>
      <w:suff w:val="nothing"/>
      <w:lvlText w:val="%1."/>
      <w:lvlJc w:val="left"/>
      <w:pPr>
        <w:ind w:left="420" w:hanging="420"/>
      </w:pPr>
      <w:rPr>
        <w:rFonts w:hint="eastAsia"/>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6CB"/>
    <w:rsid w:val="004B018B"/>
    <w:rsid w:val="004B36CB"/>
    <w:rsid w:val="00664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36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media/70858/download" TargetMode="External"/><Relationship Id="rId5" Type="http://schemas.openxmlformats.org/officeDocument/2006/relationships/hyperlink" Target="http://www.cde.org.cn/dzkw.d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2019-12-24T02:45:00Z</dcterms:created>
  <dcterms:modified xsi:type="dcterms:W3CDTF">2019-12-24T02:45:00Z</dcterms:modified>
</cp:coreProperties>
</file>