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2161" w:firstLineChars="600"/>
        <w:jc w:val="both"/>
        <w:rPr>
          <w:rStyle w:val="9"/>
          <w:rFonts w:ascii="微软雅黑" w:hAnsi="微软雅黑" w:eastAsia="微软雅黑" w:cs="微软雅黑"/>
          <w:b/>
          <w:bCs/>
          <w:i w:val="0"/>
          <w:caps w:val="0"/>
          <w:color w:val="0B876F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  <w:r>
        <w:rPr>
          <w:rFonts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36"/>
          <w:szCs w:val="36"/>
          <w:shd w:val="clear" w:fill="FFFFFF"/>
        </w:rPr>
        <w:t>GCG1000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36"/>
          <w:szCs w:val="36"/>
          <w:shd w:val="clear" w:fill="FFFFFF"/>
          <w:lang w:val="en-US" w:eastAsia="zh-CN"/>
        </w:rPr>
        <w:t>(B)</w:t>
      </w:r>
      <w:r>
        <w:rPr>
          <w:rFonts w:ascii="微软雅黑" w:hAnsi="微软雅黑" w:eastAsia="微软雅黑" w:cs="微软雅黑"/>
          <w:b/>
          <w:bCs/>
          <w:i w:val="0"/>
          <w:caps w:val="0"/>
          <w:color w:val="555555"/>
          <w:spacing w:val="0"/>
          <w:sz w:val="36"/>
          <w:szCs w:val="36"/>
          <w:shd w:val="clear" w:fill="FFFFFF"/>
        </w:rPr>
        <w:t>粉尘浓度传感器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Style w:val="9"/>
          <w:rFonts w:ascii="微软雅黑" w:hAnsi="微软雅黑" w:eastAsia="微软雅黑" w:cs="微软雅黑"/>
          <w:i w:val="0"/>
          <w:caps w:val="0"/>
          <w:color w:val="0B876F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 xml:space="preserve">        </w:t>
      </w:r>
      <w:r>
        <w:rPr>
          <w:rStyle w:val="9"/>
          <w:rFonts w:ascii="微软雅黑" w:hAnsi="微软雅黑" w:eastAsia="微软雅黑" w:cs="微软雅黑"/>
          <w:i w:val="0"/>
          <w:caps w:val="0"/>
          <w:color w:val="0B876F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23815" cy="3304540"/>
            <wp:effectExtent l="0" t="0" r="635" b="10160"/>
            <wp:docPr id="3" name="图片 3" descr="151194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119484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ascii="微软雅黑" w:hAnsi="微软雅黑" w:eastAsia="微软雅黑" w:cs="微软雅黑"/>
          <w:i w:val="0"/>
          <w:caps w:val="0"/>
          <w:color w:val="0B876F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一、产品介绍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GCG1000型粉尘浓度传感器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根据WS/T206-2001公共场所空气中可吸入颗粒物测定方法--光散射法设计，吸收消化了国内外先进的测尘技术，采用红外激光器和进口光电倍增管，将进入暗室里的浮游粉尘在红外激光照射下，在粉尘性质一定的条件下粉尘的散射光强正比于粉尘质量浓度，将散射光强度转换成电信号，通过预置K值可直接计算出粉尘的质量浓度。计算出粉尘的质量浓度通过数码管直接显示并转换成200～1000Hz频率信号或4～20mA电流信号输出，供环境监测或其他测控系统使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本产品适用于具有爆炸性气体（粉尘）危害的金属与非金属矿山；目前按照国家环保部要求，具备爆炸条件下的作业场所，要实施粉尘浓度总粉尘的连续监测。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在以下具有易燃易爆场所实现预警作用：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1、金属生产加工：铝粉、锌粉、硅铁粉、镁粉、铁粉、铝材加工研磨粉等；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2、粮食生产加工：小麦、淀粉、糖、奶粉等；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3、饲料生产加工：血粉、鱼粉等；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4、农副产品类：棉花、烟草、茶叶粉等；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5、林产品类：纸粉、木粉等；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6、合成材料类：塑料、染料等；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7、煤粉及其他场所。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sz w:val="24"/>
          <w:szCs w:val="24"/>
          <w:bdr w:val="none" w:color="auto" w:sz="0" w:space="0"/>
          <w:shd w:val="clear" w:fill="FFFFFF"/>
        </w:rPr>
        <w:t>二、产品参数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1、测定原理：光散射原理；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2、测定对象：作业场所粉尘检测、粉尘环境监测；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3、测量误差：±10%；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4、测量范围：0.1mg/m³～1000mg/m³；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5、显示方式：四位LED数码管；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6、信号输出：(200～1000)Hz频率信号；(4～20)mA电流信号；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7、工作电压：12V～24V（本安）；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工作电流：≤250mA（12V）；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8、粉尘浓度报警点：可任意点设置，声光报警；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9、使用环境： 温度：0～40℃；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相对湿度：＜95%；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大气压：86 kPa～106kPa；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10、尺寸： (220×145×110)  mm；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11、重量： ≤ 2.0 kg；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12、防爆形式：工业防爆型，粉尘防爆型、普通型；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13、防爆标志：Exib IIB T4 Gb/ExibD21 IP65 T120；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sz w:val="24"/>
          <w:szCs w:val="24"/>
          <w:bdr w:val="none" w:color="auto" w:sz="0" w:space="0"/>
          <w:shd w:val="clear" w:fill="FFFFFF"/>
        </w:rPr>
        <w:t>三、产品特点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1、通过调整检测周期，可快速测量粉尘实时浓度，灵敏度高、性能稳定；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2、负载能力强，光道受积尘污染影响小；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3、通过预置K值可测量各类粉尘质量浓度，同时可设定粉尘浓度超标报警阀值，粉尘超标时自动声光报警；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4、一体化设计，在监测粉尘浓度的同时实现实时报警，预防粉尘浓度超标，并可根据现场设定报警值连锁除尘；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5、仪器额定工作电流小，大大减轻了分站电源的负担；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6、可实现远距离操控，具有遥控功能；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7、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仪器自带校准功能，仪器定期进行自校，更能保证数据的准确性；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8、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仪器主机与声光报警装置研发为一体，减少了后期电路连接的麻烦，安装更方便；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9、仪器配有专用主机箱，体积小携带方便；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Style w:val="9"/>
          <w:rFonts w:hint="eastAsia" w:ascii="微软雅黑" w:hAnsi="微软雅黑" w:eastAsia="微软雅黑" w:cs="微软雅黑"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10、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可选配三角支架，仪器随时随地安装；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B876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11、仪器配备专业清理装置，更能适用于恶劣的监测环境。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95950" cy="8124825"/>
            <wp:effectExtent l="0" t="0" r="0" b="9525"/>
            <wp:docPr id="4" name="图片 4" descr="GCG1000(B)防爆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CG1000(B)防爆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5525" cy="8396605"/>
            <wp:effectExtent l="0" t="0" r="9525" b="4445"/>
            <wp:docPr id="7" name="图片 7" descr="专利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利证书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5525" cy="8396605"/>
            <wp:effectExtent l="0" t="0" r="9525" b="4445"/>
            <wp:docPr id="5" name="图片 5" descr="专利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利证书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20130" cy="8410575"/>
            <wp:effectExtent l="0" t="0" r="13970" b="9525"/>
            <wp:docPr id="8" name="图片 8" descr="多样性粉尘检测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多样性粉尘检测系统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665470" cy="8014335"/>
            <wp:effectExtent l="0" t="0" r="11430" b="5715"/>
            <wp:docPr id="12" name="图片 12" descr="聚创ISO-14001中文版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聚创ISO-14001中文版20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6119495" cy="8656320"/>
            <wp:effectExtent l="0" t="0" r="14605" b="11430"/>
            <wp:docPr id="11" name="图片 11" descr="聚创ISO-9001中文版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聚创ISO-9001中文版-2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08295" cy="7714615"/>
            <wp:effectExtent l="0" t="0" r="1905" b="635"/>
            <wp:docPr id="9" name="图片 9" descr="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职业健康安全管理体系认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644" w:left="1134" w:header="651" w:footer="57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eastAsia="宋体"/>
        <w:b/>
        <w:bCs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4962525</wp:posOffset>
              </wp:positionH>
              <wp:positionV relativeFrom="paragraph">
                <wp:posOffset>4445</wp:posOffset>
              </wp:positionV>
              <wp:extent cx="397510" cy="278130"/>
              <wp:effectExtent l="0" t="0" r="0" b="0"/>
              <wp:wrapNone/>
              <wp:docPr id="1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510" cy="278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390.75pt;margin-top:0.35pt;height:21.9pt;width:31.3pt;mso-position-horizontal-relative:margin;z-index:251664384;mso-width-relative:page;mso-height-relative:page;" filled="f" stroked="f" coordsize="21600,21600" o:gfxdata="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bW1WtYAAAAHAQAADwAAAAAAAAABACAAAAAiAAAAZHJzL2Rv&#10;d25yZXYueG1sUEsBAhQAFAAAAAgAh07iQIOaajHKAQAAbAMAAA4AAAAAAAAAAQAgAAAAJQ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eastAsia="宋体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b/>
        <w:bCs/>
        <w:lang w:eastAsia="zh-CN"/>
      </w:rPr>
      <w:drawing>
        <wp:anchor distT="0" distB="0" distL="114935" distR="114935" simplePos="0" relativeHeight="251666432" behindDoc="1" locked="0" layoutInCell="1" allowOverlap="1">
          <wp:simplePos x="0" y="0"/>
          <wp:positionH relativeFrom="column">
            <wp:posOffset>-891540</wp:posOffset>
          </wp:positionH>
          <wp:positionV relativeFrom="paragraph">
            <wp:posOffset>-535305</wp:posOffset>
          </wp:positionV>
          <wp:extent cx="7565390" cy="1006475"/>
          <wp:effectExtent l="0" t="0" r="16510" b="3175"/>
          <wp:wrapNone/>
          <wp:docPr id="6" name="图片 6" descr="彩页111_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彩页111_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06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8190"/>
        <w:tab w:val="right" w:pos="8620"/>
        <w:tab w:val="clear" w:pos="8306"/>
      </w:tabs>
      <w:ind w:firstLine="211" w:firstLineChars="100"/>
      <w:jc w:val="center"/>
      <w:rPr>
        <w:rFonts w:hint="eastAsia"/>
        <w:b/>
        <w:bCs/>
        <w:sz w:val="21"/>
        <w:szCs w:val="21"/>
        <w:lang w:val="en-US" w:eastAsia="zh-CN"/>
      </w:rPr>
    </w:pPr>
    <w:r>
      <w:rPr>
        <w:rFonts w:hint="eastAsia" w:ascii="黑体" w:hAnsi="黑体" w:eastAsia="黑体" w:cs="黑体"/>
        <w:b/>
        <w:bCs/>
        <w:sz w:val="21"/>
        <w:szCs w:val="21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-707390</wp:posOffset>
          </wp:positionH>
          <wp:positionV relativeFrom="paragraph">
            <wp:posOffset>-351155</wp:posOffset>
          </wp:positionV>
          <wp:extent cx="7574915" cy="1173480"/>
          <wp:effectExtent l="0" t="0" r="6985" b="7620"/>
          <wp:wrapTopAndBottom/>
          <wp:docPr id="1" name="图片 1" descr="彩页11100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彩页11100_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173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tabs>
        <w:tab w:val="left" w:pos="8190"/>
        <w:tab w:val="right" w:pos="8620"/>
        <w:tab w:val="clear" w:pos="8306"/>
      </w:tabs>
      <w:jc w:val="left"/>
      <w:rPr>
        <w:rFonts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w:t xml:space="preserve">             </w:t>
    </w:r>
    <w:r>
      <w:rPr>
        <w:rFonts w:hint="eastAsia" w:ascii="黑体" w:hAnsi="黑体" w:eastAsia="黑体" w:cs="黑体"/>
        <w:b/>
        <w:bCs/>
        <w:sz w:val="21"/>
        <w:szCs w:val="21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sz w:val="21"/>
        <w:szCs w:val="21"/>
      </w:rPr>
      <w:t xml:space="preserve">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16EB1"/>
    <w:rsid w:val="05D563DD"/>
    <w:rsid w:val="07104C7E"/>
    <w:rsid w:val="0A494325"/>
    <w:rsid w:val="11BA6177"/>
    <w:rsid w:val="204047D9"/>
    <w:rsid w:val="20C571B6"/>
    <w:rsid w:val="24C3749E"/>
    <w:rsid w:val="3886119B"/>
    <w:rsid w:val="46716EB1"/>
    <w:rsid w:val="4F91277F"/>
    <w:rsid w:val="58BD243F"/>
    <w:rsid w:val="6DED57D9"/>
    <w:rsid w:val="6FF4229D"/>
    <w:rsid w:val="742C47D6"/>
    <w:rsid w:val="766C3FDC"/>
    <w:rsid w:val="77227C48"/>
    <w:rsid w:val="7E3E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2018-01-31T02:23:00Z</dcterms:created>
  <dc:creator>聚创环保</dc:creator>
  <cp:lastModifiedBy>逸翔</cp:lastModifiedBy>
  <cp:lastPrinted>2018-02-02T07:18:00Z</cp:lastPrinted>
  <dcterms:modified xsi:type="dcterms:W3CDTF">2018-05-10T05:38:14Z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6</vt:lpwstr>
  </property>
</Properties>
</file>