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
        <w:tblW w:w="10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0"/>
        <w:gridCol w:w="2920"/>
        <w:gridCol w:w="6720"/>
        <w:gridCol w:w="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3" w:hRule="atLeast"/>
        </w:trPr>
        <w:tc>
          <w:tcPr>
            <w:tcW w:w="120" w:type="dxa"/>
            <w:vAlign w:val="bottom"/>
          </w:tcPr>
          <w:p>
            <w:pPr>
              <w:spacing w:line="0" w:lineRule="atLeast"/>
              <w:rPr>
                <w:rFonts w:ascii="Times New Roman" w:hAnsi="Times New Roman" w:eastAsia="Times New Roman"/>
                <w:sz w:val="24"/>
                <w:szCs w:val="24"/>
              </w:rPr>
            </w:pPr>
            <w:bookmarkStart w:id="0" w:name="page2"/>
            <w:bookmarkEnd w:id="0"/>
            <w:r>
              <w:rPr>
                <w:rFonts w:ascii="宋体" w:hAnsi="宋体" w:eastAsia="宋体"/>
                <w:sz w:val="24"/>
                <w:szCs w:val="24"/>
              </w:rPr>
              <w:drawing>
                <wp:anchor distT="0" distB="0" distL="114300" distR="114300" simplePos="0" relativeHeight="251666432" behindDoc="1" locked="0" layoutInCell="0" allowOverlap="1">
                  <wp:simplePos x="0" y="0"/>
                  <wp:positionH relativeFrom="page">
                    <wp:posOffset>1179830</wp:posOffset>
                  </wp:positionH>
                  <wp:positionV relativeFrom="page">
                    <wp:posOffset>541020</wp:posOffset>
                  </wp:positionV>
                  <wp:extent cx="1033145" cy="754380"/>
                  <wp:effectExtent l="0" t="0" r="14605" b="7620"/>
                  <wp:wrapNone/>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pic:cNvPicPr>
                            <a:picLocks noChangeAspect="1"/>
                          </pic:cNvPicPr>
                        </pic:nvPicPr>
                        <pic:blipFill>
                          <a:blip r:embed="rId4">
                            <a:clrChange>
                              <a:clrFrom>
                                <a:srgbClr val="FFFFFF"/>
                              </a:clrFrom>
                              <a:clrTo>
                                <a:srgbClr val="FFFFFF">
                                  <a:alpha val="0"/>
                                </a:srgbClr>
                              </a:clrTo>
                            </a:clrChange>
                          </a:blip>
                          <a:stretch>
                            <a:fillRect/>
                          </a:stretch>
                        </pic:blipFill>
                        <pic:spPr>
                          <a:xfrm>
                            <a:off x="0" y="0"/>
                            <a:ext cx="1033145" cy="754380"/>
                          </a:xfrm>
                          <a:prstGeom prst="rect">
                            <a:avLst/>
                          </a:prstGeom>
                          <a:noFill/>
                          <a:ln w="9525">
                            <a:noFill/>
                          </a:ln>
                        </pic:spPr>
                      </pic:pic>
                    </a:graphicData>
                  </a:graphic>
                </wp:anchor>
              </w:drawing>
            </w:r>
          </w:p>
        </w:tc>
        <w:tc>
          <w:tcPr>
            <w:tcW w:w="2920" w:type="dxa"/>
            <w:vAlign w:val="bottom"/>
          </w:tcPr>
          <w:p>
            <w:pPr>
              <w:spacing w:line="0" w:lineRule="atLeast"/>
              <w:rPr>
                <w:rFonts w:ascii="Times New Roman" w:hAnsi="Times New Roman" w:eastAsia="Times New Roman"/>
                <w:sz w:val="24"/>
                <w:szCs w:val="24"/>
              </w:rPr>
            </w:pPr>
          </w:p>
        </w:tc>
        <w:tc>
          <w:tcPr>
            <w:tcW w:w="6960" w:type="dxa"/>
            <w:gridSpan w:val="2"/>
            <w:vAlign w:val="bottom"/>
          </w:tcPr>
          <w:p>
            <w:pPr>
              <w:spacing w:line="0" w:lineRule="atLeast"/>
              <w:ind w:left="360"/>
              <w:rPr>
                <w:rFonts w:ascii="Times New Roman" w:hAnsi="Times New Roman" w:eastAsia="Times New Roman"/>
                <w:sz w:val="24"/>
                <w:szCs w:val="24"/>
              </w:rPr>
            </w:pPr>
            <w:r>
              <w:rPr>
                <w:rFonts w:ascii="黑体" w:hAnsi="黑体" w:eastAsia="黑体"/>
                <w:sz w:val="24"/>
                <w:szCs w:val="24"/>
              </w:rPr>
              <w:t>——</w:t>
            </w:r>
            <w:r>
              <w:rPr>
                <w:rFonts w:ascii="宋体" w:hAnsi="宋体" w:eastAsia="宋体"/>
                <w:sz w:val="24"/>
                <w:szCs w:val="24"/>
              </w:rPr>
              <w:t>巩义市予华仪器有限公司是唯一一家在工商总局注册</w:t>
            </w:r>
            <w:r>
              <w:rPr>
                <w:rFonts w:ascii="Times New Roman" w:hAnsi="Times New Roman" w:eastAsia="Times New Roman"/>
                <w:sz w:val="24"/>
                <w:szCs w:val="24"/>
              </w:rPr>
              <w:t>“</w:t>
            </w:r>
            <w:r>
              <w:rPr>
                <w:rFonts w:ascii="宋体" w:hAnsi="宋体" w:eastAsia="宋体"/>
                <w:sz w:val="24"/>
                <w:szCs w:val="24"/>
              </w:rPr>
              <w:t>予华仪器</w:t>
            </w:r>
            <w:r>
              <w:rPr>
                <w:rFonts w:ascii="Times New Roman" w:hAnsi="Times New Roman" w:eastAsia="Times New Roman"/>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atLeast"/>
        </w:trPr>
        <w:tc>
          <w:tcPr>
            <w:tcW w:w="120" w:type="dxa"/>
            <w:vAlign w:val="bottom"/>
          </w:tcPr>
          <w:p>
            <w:pPr>
              <w:spacing w:line="0" w:lineRule="atLeast"/>
              <w:rPr>
                <w:rFonts w:ascii="Times New Roman" w:hAnsi="Times New Roman" w:eastAsia="Times New Roman"/>
                <w:sz w:val="24"/>
                <w:szCs w:val="24"/>
              </w:rPr>
            </w:pPr>
          </w:p>
        </w:tc>
        <w:tc>
          <w:tcPr>
            <w:tcW w:w="2920" w:type="dxa"/>
            <w:vAlign w:val="bottom"/>
          </w:tcPr>
          <w:p>
            <w:pPr>
              <w:spacing w:line="0" w:lineRule="atLeast"/>
              <w:rPr>
                <w:rFonts w:ascii="Times New Roman" w:hAnsi="Times New Roman" w:eastAsia="Times New Roman"/>
                <w:sz w:val="24"/>
                <w:szCs w:val="24"/>
              </w:rPr>
            </w:pPr>
          </w:p>
        </w:tc>
        <w:tc>
          <w:tcPr>
            <w:tcW w:w="6960" w:type="dxa"/>
            <w:gridSpan w:val="2"/>
            <w:vAlign w:val="bottom"/>
          </w:tcPr>
          <w:p>
            <w:pPr>
              <w:spacing w:line="239" w:lineRule="exact"/>
              <w:ind w:left="360"/>
              <w:rPr>
                <w:rFonts w:ascii="宋体" w:hAnsi="宋体" w:eastAsia="宋体"/>
                <w:sz w:val="24"/>
                <w:szCs w:val="24"/>
              </w:rPr>
            </w:pPr>
            <w:r>
              <w:rPr>
                <w:rFonts w:ascii="宋体" w:hAnsi="宋体" w:eastAsia="宋体"/>
                <w:sz w:val="24"/>
                <w:szCs w:val="24"/>
              </w:rPr>
              <w:t>品牌的企业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 w:type="dxa"/>
            <w:vAlign w:val="bottom"/>
          </w:tcPr>
          <w:p>
            <w:pPr>
              <w:spacing w:line="0" w:lineRule="atLeast"/>
              <w:rPr>
                <w:rFonts w:ascii="Times New Roman" w:hAnsi="Times New Roman" w:eastAsia="Times New Roman"/>
                <w:sz w:val="24"/>
                <w:szCs w:val="24"/>
              </w:rPr>
            </w:pPr>
          </w:p>
        </w:tc>
        <w:tc>
          <w:tcPr>
            <w:tcW w:w="2920" w:type="dxa"/>
            <w:vAlign w:val="bottom"/>
          </w:tcPr>
          <w:p>
            <w:pPr>
              <w:spacing w:line="0" w:lineRule="atLeast"/>
              <w:rPr>
                <w:rFonts w:ascii="Times New Roman" w:hAnsi="Times New Roman" w:eastAsia="Times New Roman"/>
                <w:sz w:val="24"/>
                <w:szCs w:val="24"/>
              </w:rPr>
            </w:pPr>
          </w:p>
        </w:tc>
        <w:tc>
          <w:tcPr>
            <w:tcW w:w="6960" w:type="dxa"/>
            <w:gridSpan w:val="2"/>
            <w:vAlign w:val="bottom"/>
          </w:tcPr>
          <w:p>
            <w:pPr>
              <w:spacing w:line="0" w:lineRule="atLeast"/>
              <w:ind w:firstLine="241" w:firstLineChars="100"/>
              <w:rPr>
                <w:rFonts w:ascii="宋体" w:hAnsi="宋体" w:eastAsia="宋体"/>
                <w:b/>
                <w:sz w:val="24"/>
                <w:szCs w:val="24"/>
              </w:rPr>
            </w:pPr>
            <w:r>
              <w:rPr>
                <w:rFonts w:ascii="宋体" w:hAnsi="宋体" w:eastAsia="宋体"/>
                <w:b/>
                <w:sz w:val="24"/>
                <w:szCs w:val="24"/>
              </w:rPr>
              <w:t>巩义市予华仪器有限责任公司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4" w:hRule="atLeast"/>
        </w:trPr>
        <w:tc>
          <w:tcPr>
            <w:tcW w:w="3040" w:type="dxa"/>
            <w:gridSpan w:val="2"/>
            <w:vAlign w:val="bottom"/>
          </w:tcPr>
          <w:p>
            <w:pPr>
              <w:spacing w:line="0" w:lineRule="atLeast"/>
              <w:ind w:left="120"/>
              <w:rPr>
                <w:rFonts w:ascii="Arial" w:hAnsi="Arial" w:eastAsia="Arial"/>
                <w:sz w:val="24"/>
                <w:szCs w:val="24"/>
              </w:rPr>
            </w:pPr>
          </w:p>
        </w:tc>
        <w:tc>
          <w:tcPr>
            <w:tcW w:w="6960" w:type="dxa"/>
            <w:gridSpan w:val="2"/>
            <w:vAlign w:val="bottom"/>
          </w:tcPr>
          <w:p>
            <w:pPr>
              <w:spacing w:line="239" w:lineRule="exact"/>
              <w:ind w:left="360"/>
              <w:rPr>
                <w:rFonts w:ascii="黑体" w:hAnsi="黑体" w:eastAsia="黑体"/>
                <w:sz w:val="24"/>
                <w:szCs w:val="24"/>
              </w:rPr>
            </w:pPr>
            <w:r>
              <w:rPr>
                <w:rFonts w:ascii="黑体" w:hAnsi="黑体" w:eastAsia="黑体"/>
                <w:sz w:val="24"/>
                <w:szCs w:val="24"/>
              </w:rPr>
              <w:t>地址:河南省巩义市英峪工业区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20" w:type="dxa"/>
            <w:tcBorders>
              <w:bottom w:val="single" w:color="auto" w:sz="8" w:space="0"/>
            </w:tcBorders>
            <w:vAlign w:val="bottom"/>
          </w:tcPr>
          <w:p>
            <w:pPr>
              <w:spacing w:line="0" w:lineRule="atLeast"/>
              <w:rPr>
                <w:rFonts w:ascii="Times New Roman" w:hAnsi="Times New Roman" w:eastAsia="Times New Roman"/>
                <w:sz w:val="24"/>
                <w:szCs w:val="24"/>
              </w:rPr>
            </w:pPr>
          </w:p>
        </w:tc>
        <w:tc>
          <w:tcPr>
            <w:tcW w:w="2920" w:type="dxa"/>
            <w:tcBorders>
              <w:bottom w:val="single" w:color="auto" w:sz="8" w:space="0"/>
            </w:tcBorders>
            <w:vAlign w:val="bottom"/>
          </w:tcPr>
          <w:p>
            <w:pPr>
              <w:spacing w:line="0" w:lineRule="atLeast"/>
              <w:rPr>
                <w:rFonts w:ascii="Times New Roman" w:hAnsi="Times New Roman" w:eastAsia="Times New Roman"/>
                <w:sz w:val="24"/>
                <w:szCs w:val="24"/>
              </w:rPr>
            </w:pPr>
          </w:p>
        </w:tc>
        <w:tc>
          <w:tcPr>
            <w:tcW w:w="6720" w:type="dxa"/>
            <w:tcBorders>
              <w:bottom w:val="single" w:color="auto" w:sz="8" w:space="0"/>
            </w:tcBorders>
            <w:vAlign w:val="bottom"/>
          </w:tcPr>
          <w:p>
            <w:pPr>
              <w:spacing w:line="0" w:lineRule="atLeast"/>
              <w:rPr>
                <w:rFonts w:ascii="Times New Roman" w:hAnsi="Times New Roman" w:eastAsia="Times New Roman"/>
                <w:sz w:val="24"/>
                <w:szCs w:val="24"/>
              </w:rPr>
            </w:pPr>
          </w:p>
        </w:tc>
        <w:tc>
          <w:tcPr>
            <w:tcW w:w="240" w:type="dxa"/>
            <w:tcBorders>
              <w:bottom w:val="single" w:color="auto" w:sz="8" w:space="0"/>
            </w:tcBorders>
            <w:vAlign w:val="bottom"/>
          </w:tcPr>
          <w:p>
            <w:pPr>
              <w:spacing w:line="0" w:lineRule="atLeast"/>
              <w:rPr>
                <w:rFonts w:ascii="Times New Roman" w:hAnsi="Times New Roman" w:eastAsia="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 w:hRule="atLeast"/>
        </w:trPr>
        <w:tc>
          <w:tcPr>
            <w:tcW w:w="120" w:type="dxa"/>
            <w:tcBorders>
              <w:bottom w:val="single" w:color="auto" w:sz="8" w:space="0"/>
            </w:tcBorders>
            <w:vAlign w:val="bottom"/>
          </w:tcPr>
          <w:p>
            <w:pPr>
              <w:spacing w:line="0" w:lineRule="atLeast"/>
              <w:rPr>
                <w:rFonts w:ascii="Times New Roman" w:hAnsi="Times New Roman" w:eastAsia="Times New Roman"/>
                <w:sz w:val="24"/>
                <w:szCs w:val="24"/>
              </w:rPr>
            </w:pPr>
          </w:p>
        </w:tc>
        <w:tc>
          <w:tcPr>
            <w:tcW w:w="2920" w:type="dxa"/>
            <w:tcBorders>
              <w:bottom w:val="single" w:color="auto" w:sz="8" w:space="0"/>
            </w:tcBorders>
            <w:vAlign w:val="bottom"/>
          </w:tcPr>
          <w:p>
            <w:pPr>
              <w:spacing w:line="0" w:lineRule="atLeast"/>
              <w:rPr>
                <w:rFonts w:ascii="Times New Roman" w:hAnsi="Times New Roman" w:eastAsia="Times New Roman"/>
                <w:sz w:val="24"/>
                <w:szCs w:val="24"/>
              </w:rPr>
            </w:pPr>
          </w:p>
        </w:tc>
        <w:tc>
          <w:tcPr>
            <w:tcW w:w="6720" w:type="dxa"/>
            <w:tcBorders>
              <w:bottom w:val="single" w:color="auto" w:sz="8" w:space="0"/>
            </w:tcBorders>
            <w:vAlign w:val="bottom"/>
          </w:tcPr>
          <w:p>
            <w:pPr>
              <w:spacing w:line="0" w:lineRule="atLeast"/>
              <w:rPr>
                <w:rFonts w:ascii="Times New Roman" w:hAnsi="Times New Roman" w:eastAsia="Times New Roman"/>
                <w:sz w:val="24"/>
                <w:szCs w:val="24"/>
              </w:rPr>
            </w:pPr>
          </w:p>
        </w:tc>
        <w:tc>
          <w:tcPr>
            <w:tcW w:w="240" w:type="dxa"/>
            <w:tcBorders>
              <w:bottom w:val="single" w:color="auto" w:sz="8" w:space="0"/>
            </w:tcBorders>
            <w:vAlign w:val="bottom"/>
          </w:tcPr>
          <w:p>
            <w:pPr>
              <w:spacing w:line="0" w:lineRule="atLeast"/>
              <w:rPr>
                <w:rFonts w:ascii="Times New Roman" w:hAnsi="Times New Roman" w:eastAsia="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0" w:hRule="atLeast"/>
        </w:trPr>
        <w:tc>
          <w:tcPr>
            <w:tcW w:w="120" w:type="dxa"/>
            <w:vAlign w:val="bottom"/>
          </w:tcPr>
          <w:p>
            <w:pPr>
              <w:spacing w:line="0" w:lineRule="atLeast"/>
              <w:rPr>
                <w:rFonts w:ascii="Times New Roman" w:hAnsi="Times New Roman" w:eastAsia="Times New Roman"/>
                <w:sz w:val="24"/>
                <w:szCs w:val="24"/>
              </w:rPr>
            </w:pPr>
          </w:p>
        </w:tc>
        <w:tc>
          <w:tcPr>
            <w:tcW w:w="2920" w:type="dxa"/>
            <w:vAlign w:val="bottom"/>
          </w:tcPr>
          <w:p>
            <w:pPr>
              <w:spacing w:line="0" w:lineRule="atLeast"/>
              <w:rPr>
                <w:rFonts w:ascii="Times New Roman" w:hAnsi="Times New Roman" w:eastAsia="Times New Roman"/>
                <w:sz w:val="24"/>
                <w:szCs w:val="24"/>
              </w:rPr>
            </w:pPr>
          </w:p>
        </w:tc>
        <w:tc>
          <w:tcPr>
            <w:tcW w:w="6960" w:type="dxa"/>
            <w:gridSpan w:val="2"/>
            <w:vAlign w:val="bottom"/>
          </w:tcPr>
          <w:p>
            <w:pPr>
              <w:spacing w:line="0" w:lineRule="atLeast"/>
              <w:ind w:left="260"/>
              <w:rPr>
                <w:rFonts w:ascii="楷体" w:hAnsi="楷体" w:eastAsia="楷体"/>
                <w:b/>
                <w:sz w:val="24"/>
                <w:szCs w:val="24"/>
              </w:rPr>
            </w:pPr>
            <w:r>
              <w:rPr>
                <w:rFonts w:ascii="楷体" w:hAnsi="楷体" w:eastAsia="楷体"/>
                <w:b/>
                <w:sz w:val="24"/>
                <w:szCs w:val="24"/>
              </w:rPr>
              <w:t>产品技术参数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5" w:hRule="atLeast"/>
        </w:trPr>
        <w:tc>
          <w:tcPr>
            <w:tcW w:w="120" w:type="dxa"/>
            <w:vAlign w:val="bottom"/>
          </w:tcPr>
          <w:p>
            <w:pPr>
              <w:spacing w:line="0" w:lineRule="atLeast"/>
              <w:rPr>
                <w:rFonts w:ascii="Times New Roman" w:hAnsi="Times New Roman" w:eastAsia="Times New Roman"/>
                <w:sz w:val="24"/>
                <w:szCs w:val="24"/>
              </w:rPr>
            </w:pPr>
          </w:p>
        </w:tc>
        <w:tc>
          <w:tcPr>
            <w:tcW w:w="2920" w:type="dxa"/>
            <w:tcBorders>
              <w:bottom w:val="single" w:color="auto" w:sz="8" w:space="0"/>
            </w:tcBorders>
            <w:vAlign w:val="bottom"/>
          </w:tcPr>
          <w:p>
            <w:pPr>
              <w:spacing w:line="0" w:lineRule="atLeast"/>
              <w:rPr>
                <w:rFonts w:ascii="Times New Roman" w:hAnsi="Times New Roman" w:eastAsia="Times New Roman"/>
                <w:sz w:val="24"/>
                <w:szCs w:val="24"/>
              </w:rPr>
            </w:pPr>
          </w:p>
        </w:tc>
        <w:tc>
          <w:tcPr>
            <w:tcW w:w="6720" w:type="dxa"/>
            <w:tcBorders>
              <w:bottom w:val="single" w:color="auto" w:sz="8" w:space="0"/>
            </w:tcBorders>
            <w:vAlign w:val="bottom"/>
          </w:tcPr>
          <w:p>
            <w:pPr>
              <w:spacing w:line="0" w:lineRule="atLeast"/>
              <w:rPr>
                <w:rFonts w:ascii="Times New Roman" w:hAnsi="Times New Roman" w:eastAsia="Times New Roman"/>
                <w:sz w:val="24"/>
                <w:szCs w:val="24"/>
              </w:rPr>
            </w:pPr>
          </w:p>
        </w:tc>
        <w:tc>
          <w:tcPr>
            <w:tcW w:w="240" w:type="dxa"/>
            <w:vAlign w:val="bottom"/>
          </w:tcPr>
          <w:p>
            <w:pPr>
              <w:spacing w:line="0" w:lineRule="atLeast"/>
              <w:rPr>
                <w:rFonts w:ascii="Times New Roman" w:hAnsi="Times New Roman" w:eastAsia="Times New Roman"/>
                <w:sz w:val="24"/>
                <w:szCs w:val="24"/>
              </w:rPr>
            </w:pPr>
          </w:p>
        </w:tc>
      </w:tr>
    </w:tbl>
    <w:p>
      <w:pPr>
        <w:pStyle w:val="4"/>
        <w:keepNext w:val="0"/>
        <w:keepLines w:val="0"/>
        <w:widowControl/>
        <w:suppressLineNumbers w:val="0"/>
        <w:spacing w:before="150" w:beforeAutospacing="0" w:after="0" w:afterAutospacing="0" w:line="420" w:lineRule="atLeast"/>
        <w:ind w:left="0" w:right="0"/>
        <w:jc w:val="center"/>
        <w:rPr>
          <w:rStyle w:val="8"/>
          <w:rFonts w:ascii="Verdana" w:hAnsi="Verdana" w:cs="Verdana"/>
          <w:color w:val="000000"/>
          <w:sz w:val="24"/>
          <w:szCs w:val="24"/>
          <w:bdr w:val="none" w:color="auto" w:sz="0" w:space="0"/>
          <w:shd w:val="clear" w:fill="FEFEFE"/>
        </w:rPr>
      </w:pPr>
      <w:bookmarkStart w:id="1" w:name="_GoBack"/>
      <w:r>
        <w:rPr>
          <w:rStyle w:val="8"/>
          <w:rFonts w:ascii="Verdana" w:hAnsi="Verdana" w:cs="Verdana"/>
          <w:color w:val="000000"/>
          <w:sz w:val="24"/>
          <w:szCs w:val="24"/>
          <w:bdr w:val="none" w:color="auto" w:sz="0" w:space="0"/>
          <w:shd w:val="clear" w:fill="FEFEFE"/>
        </w:rPr>
        <w:t>小型高压反应釜</w:t>
      </w:r>
    </w:p>
    <w:bookmarkEnd w:id="1"/>
    <w:p>
      <w:pPr>
        <w:pStyle w:val="4"/>
        <w:keepNext w:val="0"/>
        <w:keepLines w:val="0"/>
        <w:widowControl/>
        <w:suppressLineNumbers w:val="0"/>
        <w:spacing w:before="150" w:beforeAutospacing="0" w:after="0" w:afterAutospacing="0" w:line="420" w:lineRule="atLeast"/>
        <w:ind w:left="0" w:right="0"/>
        <w:jc w:val="center"/>
        <w:rPr>
          <w:sz w:val="24"/>
          <w:szCs w:val="24"/>
        </w:rPr>
      </w:pPr>
      <w:r>
        <w:rPr>
          <w:sz w:val="24"/>
          <w:szCs w:val="24"/>
        </w:rPr>
        <w:drawing>
          <wp:inline distT="0" distB="0" distL="114300" distR="114300">
            <wp:extent cx="3295650" cy="331470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3295650" cy="3314700"/>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Tahoma" w:hAnsi="Tahoma" w:eastAsia="Tahoma" w:cs="Tahoma"/>
          <w:i w:val="0"/>
          <w:caps w:val="0"/>
          <w:color w:val="333333"/>
          <w:spacing w:val="0"/>
          <w:sz w:val="24"/>
          <w:szCs w:val="24"/>
        </w:rPr>
      </w:pPr>
      <w:r>
        <w:rPr>
          <w:rStyle w:val="8"/>
          <w:rFonts w:ascii="微软雅黑" w:hAnsi="微软雅黑" w:eastAsia="微软雅黑" w:cs="微软雅黑"/>
          <w:b/>
          <w:i w:val="0"/>
          <w:caps w:val="0"/>
          <w:color w:val="000080"/>
          <w:spacing w:val="0"/>
          <w:sz w:val="24"/>
          <w:szCs w:val="24"/>
          <w:bdr w:val="none" w:color="auto" w:sz="0" w:space="0"/>
          <w:shd w:val="clear" w:fill="FFFFFF"/>
        </w:rPr>
        <w:t> </w:t>
      </w:r>
      <w:r>
        <w:rPr>
          <w:rStyle w:val="8"/>
          <w:rFonts w:hint="eastAsia" w:ascii="微软雅黑" w:hAnsi="微软雅黑" w:eastAsia="微软雅黑" w:cs="微软雅黑"/>
          <w:b/>
          <w:i w:val="0"/>
          <w:caps w:val="0"/>
          <w:color w:val="000080"/>
          <w:spacing w:val="0"/>
          <w:sz w:val="24"/>
          <w:szCs w:val="24"/>
          <w:bdr w:val="none" w:color="auto" w:sz="0" w:space="0"/>
          <w:shd w:val="clear" w:fill="FFFFFF"/>
        </w:rPr>
        <w:t>不锈钢高压反应釜系气——液、液——液、液——固或气——液——固三相化工物料进行化学反应的搅拌反应装置，可使各种化工物料在高温、高压、真空条件下充分搅拌，以强化传质和传热过程。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default" w:ascii="Tahoma" w:hAnsi="Tahoma" w:eastAsia="Tahoma" w:cs="Tahoma"/>
          <w:i w:val="0"/>
          <w:caps w:val="0"/>
          <w:color w:val="333333"/>
          <w:spacing w:val="0"/>
          <w:sz w:val="24"/>
          <w:szCs w:val="24"/>
        </w:rPr>
      </w:pPr>
      <w:r>
        <w:rPr>
          <w:rStyle w:val="8"/>
          <w:rFonts w:hint="eastAsia" w:ascii="微软雅黑" w:hAnsi="微软雅黑" w:eastAsia="微软雅黑" w:cs="微软雅黑"/>
          <w:b/>
          <w:i w:val="0"/>
          <w:caps w:val="0"/>
          <w:color w:val="000000"/>
          <w:spacing w:val="0"/>
          <w:sz w:val="24"/>
          <w:szCs w:val="24"/>
          <w:bdr w:val="none" w:color="auto" w:sz="0" w:space="0"/>
          <w:shd w:val="clear" w:fill="FFFFFF"/>
        </w:rPr>
        <w:t>   </w:t>
      </w:r>
      <w:r>
        <w:rPr>
          <w:rStyle w:val="8"/>
          <w:rFonts w:hint="eastAsia" w:ascii="微软雅黑" w:hAnsi="微软雅黑" w:eastAsia="微软雅黑" w:cs="微软雅黑"/>
          <w:b/>
          <w:i w:val="0"/>
          <w:caps w:val="0"/>
          <w:color w:val="000080"/>
          <w:spacing w:val="0"/>
          <w:sz w:val="24"/>
          <w:szCs w:val="24"/>
          <w:bdr w:val="none" w:color="auto" w:sz="0" w:space="0"/>
          <w:shd w:val="clear" w:fill="FFFFFF"/>
        </w:rPr>
        <w:t>   CJF系列实验室磁力搅拌反应釜主要由釜体、釜盖、磁力搅拌器、加热器、阀门、加料口、内冷却盘管、安全爆破装置、压力表、控制仪及升降装置等部件组成。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default" w:ascii="Tahoma" w:hAnsi="Tahoma" w:eastAsia="Tahoma" w:cs="Tahoma"/>
          <w:i w:val="0"/>
          <w:caps w:val="0"/>
          <w:color w:val="333333"/>
          <w:spacing w:val="0"/>
          <w:sz w:val="24"/>
          <w:szCs w:val="24"/>
        </w:rPr>
      </w:pPr>
      <w:r>
        <w:rPr>
          <w:rFonts w:hint="default" w:ascii="Tahoma" w:hAnsi="Tahoma" w:eastAsia="Tahoma" w:cs="Tahoma"/>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default" w:ascii="Tahoma" w:hAnsi="Tahoma" w:eastAsia="Tahoma" w:cs="Tahoma"/>
          <w:i w:val="0"/>
          <w:caps w:val="0"/>
          <w:color w:val="333333"/>
          <w:spacing w:val="0"/>
          <w:sz w:val="24"/>
          <w:szCs w:val="24"/>
        </w:rPr>
      </w:pPr>
      <w:r>
        <w:rPr>
          <w:rStyle w:val="8"/>
          <w:rFonts w:hint="eastAsia" w:ascii="微软雅黑" w:hAnsi="微软雅黑" w:eastAsia="微软雅黑" w:cs="微软雅黑"/>
          <w:b/>
          <w:i w:val="0"/>
          <w:caps w:val="0"/>
          <w:color w:val="000000"/>
          <w:spacing w:val="0"/>
          <w:sz w:val="24"/>
          <w:szCs w:val="24"/>
          <w:bdr w:val="none" w:color="auto" w:sz="0" w:space="0"/>
          <w:shd w:val="clear" w:fill="FFFFFF"/>
        </w:rPr>
        <w:t>CJF不锈钢高压反应釜主要特点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default" w:ascii="Tahoma" w:hAnsi="Tahoma" w:eastAsia="Tahoma" w:cs="Tahoma"/>
          <w:i w:val="0"/>
          <w:caps w:val="0"/>
          <w:color w:val="333333"/>
          <w:spacing w:val="0"/>
          <w:sz w:val="24"/>
          <w:szCs w:val="24"/>
        </w:rPr>
      </w:pPr>
      <w:r>
        <w:rPr>
          <w:rStyle w:val="8"/>
          <w:rFonts w:hint="eastAsia" w:ascii="微软雅黑" w:hAnsi="微软雅黑" w:eastAsia="微软雅黑" w:cs="微软雅黑"/>
          <w:b/>
          <w:i w:val="0"/>
          <w:caps w:val="0"/>
          <w:color w:val="000000"/>
          <w:spacing w:val="0"/>
          <w:sz w:val="24"/>
          <w:szCs w:val="24"/>
          <w:bdr w:val="none" w:color="auto" w:sz="0" w:space="0"/>
          <w:shd w:val="clear" w:fill="FFFFFF"/>
        </w:rPr>
        <w:t>  </w:t>
      </w:r>
      <w:r>
        <w:rPr>
          <w:rFonts w:hint="eastAsia" w:ascii="微软雅黑" w:hAnsi="微软雅黑" w:eastAsia="微软雅黑" w:cs="微软雅黑"/>
          <w:i w:val="0"/>
          <w:caps w:val="0"/>
          <w:color w:val="000000"/>
          <w:spacing w:val="0"/>
          <w:sz w:val="24"/>
          <w:szCs w:val="24"/>
          <w:bdr w:val="none" w:color="auto" w:sz="0" w:space="0"/>
          <w:shd w:val="clear" w:fill="FFFFFF"/>
        </w:rPr>
        <w:t>    采用静密封结构，以静密封取代动密封，搅拌器与电机传动间采用磁力偶合器联接，无接触的力矩传递彻底解决了直接搅拌存在的密封不严物质泄露问题，使整个介质和搅拌部件完全处于绝对密封的状态下工作。更适合用于各种易燃易爆、剧毒、贵重介质及其它渗透力极强的化学介质进行搅拌反应，是石油、化工、有机合成、高分子材料聚合、食品等工艺中进行硫化、氟化、氢化等反应最理想的无泄露反应设备</w:t>
      </w:r>
      <w:r>
        <w:rPr>
          <w:rStyle w:val="8"/>
          <w:rFonts w:hint="eastAsia" w:ascii="微软雅黑" w:hAnsi="微软雅黑" w:eastAsia="微软雅黑" w:cs="微软雅黑"/>
          <w:b/>
          <w:i w:val="0"/>
          <w:caps w:val="0"/>
          <w:color w:val="000000"/>
          <w:spacing w:val="0"/>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default" w:ascii="Tahoma" w:hAnsi="Tahoma" w:eastAsia="Tahoma" w:cs="Tahoma"/>
          <w:i w:val="0"/>
          <w:caps w:val="0"/>
          <w:color w:val="333333"/>
          <w:spacing w:val="0"/>
          <w:sz w:val="24"/>
          <w:szCs w:val="24"/>
        </w:rPr>
      </w:pPr>
      <w:r>
        <w:rPr>
          <w:rFonts w:hint="default" w:ascii="Tahoma" w:hAnsi="Tahoma" w:eastAsia="Tahoma" w:cs="Tahoma"/>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default" w:ascii="Tahoma" w:hAnsi="Tahoma" w:eastAsia="Tahoma" w:cs="Tahoma"/>
          <w:i w:val="0"/>
          <w:caps w:val="0"/>
          <w:color w:val="333333"/>
          <w:spacing w:val="0"/>
          <w:sz w:val="24"/>
          <w:szCs w:val="24"/>
        </w:rPr>
      </w:pPr>
      <w:r>
        <w:rPr>
          <w:rStyle w:val="8"/>
          <w:rFonts w:hint="eastAsia" w:ascii="微软雅黑" w:hAnsi="微软雅黑" w:eastAsia="微软雅黑" w:cs="微软雅黑"/>
          <w:b/>
          <w:i w:val="0"/>
          <w:caps w:val="0"/>
          <w:color w:val="000000"/>
          <w:spacing w:val="0"/>
          <w:sz w:val="24"/>
          <w:szCs w:val="24"/>
          <w:bdr w:val="none" w:color="auto" w:sz="0" w:space="0"/>
          <w:shd w:val="clear" w:fill="FFFFFF"/>
        </w:rPr>
        <w:t>CJF型不锈钢高压反应釜的基本结构和特点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default" w:ascii="Tahoma" w:hAnsi="Tahoma" w:eastAsia="Tahoma" w:cs="Tahoma"/>
          <w:i w:val="0"/>
          <w:caps w:val="0"/>
          <w:color w:val="333333"/>
          <w:spacing w:val="0"/>
          <w:sz w:val="24"/>
          <w:szCs w:val="24"/>
        </w:rPr>
      </w:pPr>
      <w:r>
        <w:rPr>
          <w:rFonts w:hint="default" w:ascii="Tahoma" w:hAnsi="Tahoma" w:eastAsia="Tahoma" w:cs="Tahoma"/>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default" w:ascii="Tahoma" w:hAnsi="Tahoma" w:eastAsia="Tahoma" w:cs="Tahoma"/>
          <w:i w:val="0"/>
          <w:caps w:val="0"/>
          <w:color w:val="333333"/>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机械和连接结构：连接结构采用螺栓式结构或快开式卡环连接，同时釜盖可提升，釜体可倾倒出料或下出料。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default" w:ascii="Tahoma" w:hAnsi="Tahoma" w:eastAsia="Tahoma" w:cs="Tahoma"/>
          <w:i w:val="0"/>
          <w:caps w:val="0"/>
          <w:color w:val="333333"/>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搅拌方式：采用强磁筒形回转式耦合结构，搅拌速度为0～1000r/min， 并可根据用户需要对搅拌能力进行调节。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default" w:ascii="Tahoma" w:hAnsi="Tahoma" w:eastAsia="Tahoma" w:cs="Tahoma"/>
          <w:i w:val="0"/>
          <w:caps w:val="0"/>
          <w:color w:val="333333"/>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安全性：反应釜配有安全阀，安全阀采用爆破膜片，爆破数值误差小，瞬间排气速度快，安全可靠。反应釜各阀采用针形阀， 往复关闭形式，密封可靠经久耐用，各类阀安装合理，泄放畅通，无死角。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default" w:ascii="Tahoma" w:hAnsi="Tahoma" w:eastAsia="Tahoma" w:cs="Tahoma"/>
          <w:i w:val="0"/>
          <w:caps w:val="0"/>
          <w:color w:val="333333"/>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加热方式：采用电加热方式。也可根据客户需要提供液体加热型，电、液两用加热型</w:t>
      </w:r>
      <w:r>
        <w:rPr>
          <w:rStyle w:val="8"/>
          <w:rFonts w:hint="eastAsia" w:ascii="微软雅黑" w:hAnsi="微软雅黑" w:eastAsia="微软雅黑" w:cs="微软雅黑"/>
          <w:b/>
          <w:i w:val="0"/>
          <w:caps w:val="0"/>
          <w:color w:val="000000"/>
          <w:spacing w:val="0"/>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sz w:val="24"/>
          <w:szCs w:val="24"/>
        </w:rPr>
      </w:pPr>
      <w:r>
        <w:rPr>
          <w:rStyle w:val="8"/>
          <w:rFonts w:hint="eastAsia" w:ascii="微软雅黑" w:hAnsi="微软雅黑" w:eastAsia="微软雅黑" w:cs="微软雅黑"/>
          <w:b/>
          <w:i w:val="0"/>
          <w:caps w:val="0"/>
          <w:color w:val="333333"/>
          <w:spacing w:val="0"/>
          <w:sz w:val="24"/>
          <w:szCs w:val="24"/>
          <w:bdr w:val="none" w:color="auto" w:sz="0" w:space="0"/>
          <w:shd w:val="clear" w:fill="FFFFFF"/>
        </w:rPr>
        <w:t>控制系统：配备相关智能控制仪，控制仪采用智能化数字控制仪表</w:t>
      </w:r>
      <w:r>
        <w:rPr>
          <w:rStyle w:val="8"/>
          <w:rFonts w:hint="eastAsia" w:ascii="微软雅黑" w:hAnsi="微软雅黑" w:eastAsia="微软雅黑" w:cs="微软雅黑"/>
          <w:b/>
          <w:i w:val="0"/>
          <w:caps w:val="0"/>
          <w:color w:val="000000"/>
          <w:spacing w:val="0"/>
          <w:sz w:val="24"/>
          <w:szCs w:val="24"/>
          <w:bdr w:val="none" w:color="auto" w:sz="0" w:space="0"/>
          <w:shd w:val="clear" w:fill="FFFFFF"/>
        </w:rPr>
        <w:t>自整定智能数字控温装置，无极调速,转速显示</w:t>
      </w:r>
      <w:r>
        <w:rPr>
          <w:rStyle w:val="8"/>
          <w:rFonts w:hint="eastAsia" w:ascii="微软雅黑" w:hAnsi="微软雅黑" w:eastAsia="微软雅黑" w:cs="微软雅黑"/>
          <w:b/>
          <w:i w:val="0"/>
          <w:caps w:val="0"/>
          <w:color w:val="333333"/>
          <w:spacing w:val="0"/>
          <w:sz w:val="24"/>
          <w:szCs w:val="24"/>
          <w:bdr w:val="none" w:color="auto" w:sz="0" w:space="0"/>
          <w:shd w:val="clear" w:fill="FFFFFF"/>
        </w:rPr>
        <w:t>，提供对电机转速、釜内反应温度及压力等的数据采集和控制， 具有精度高、操作简便、抗干扰能力强等特点。</w:t>
      </w:r>
    </w:p>
    <w:p>
      <w:pPr>
        <w:pStyle w:val="4"/>
        <w:keepNext w:val="0"/>
        <w:keepLines w:val="0"/>
        <w:widowControl/>
        <w:suppressLineNumbers w:val="0"/>
        <w:spacing w:before="150" w:beforeAutospacing="0" w:after="0" w:afterAutospacing="0" w:line="420" w:lineRule="atLeast"/>
        <w:ind w:left="0" w:right="0"/>
        <w:rPr>
          <w:sz w:val="24"/>
          <w:szCs w:val="24"/>
        </w:rPr>
      </w:pPr>
      <w:r>
        <w:rPr>
          <w:rStyle w:val="8"/>
          <w:rFonts w:hint="default" w:ascii="Verdana" w:hAnsi="Verdana" w:cs="Verdana"/>
          <w:color w:val="000000"/>
          <w:sz w:val="24"/>
          <w:szCs w:val="24"/>
          <w:bdr w:val="none" w:color="auto" w:sz="0" w:space="0"/>
          <w:shd w:val="clear" w:fill="FEFEFE"/>
        </w:rPr>
        <w:t>CJF型实验室用小型高压反应釜技术指标</w:t>
      </w:r>
    </w:p>
    <w:tbl>
      <w:tblPr>
        <w:tblW w:w="9414"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282"/>
        <w:gridCol w:w="714"/>
        <w:gridCol w:w="1512"/>
        <w:gridCol w:w="1328"/>
        <w:gridCol w:w="1283"/>
        <w:gridCol w:w="1006"/>
        <w:gridCol w:w="676"/>
        <w:gridCol w:w="1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09" w:hRule="atLeast"/>
        </w:trPr>
        <w:tc>
          <w:tcPr>
            <w:tcW w:w="1109"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ascii="sans serif" w:hAnsi="sans serif" w:eastAsia="sans serif" w:cs="sans serif"/>
                <w:b w:val="0"/>
                <w:i w:val="0"/>
                <w:caps w:val="0"/>
                <w:color w:val="000000"/>
                <w:spacing w:val="0"/>
                <w:kern w:val="0"/>
                <w:sz w:val="24"/>
                <w:szCs w:val="24"/>
                <w:bdr w:val="none" w:color="auto" w:sz="0" w:space="0"/>
                <w:lang w:val="en-US" w:eastAsia="zh-CN" w:bidi="ar"/>
              </w:rPr>
              <w:t>型号</w:t>
            </w:r>
          </w:p>
        </w:tc>
        <w:tc>
          <w:tcPr>
            <w:tcW w:w="61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容积L</w:t>
            </w:r>
          </w:p>
        </w:tc>
        <w:tc>
          <w:tcPr>
            <w:tcW w:w="130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ascii="Calibri" w:hAnsi="Calibri" w:eastAsia="sans serif" w:cs="Calibri"/>
                <w:b w:val="0"/>
                <w:i w:val="0"/>
                <w:caps w:val="0"/>
                <w:color w:val="000000"/>
                <w:spacing w:val="0"/>
                <w:kern w:val="0"/>
                <w:sz w:val="24"/>
                <w:szCs w:val="24"/>
                <w:bdr w:val="none" w:color="auto" w:sz="0" w:space="0"/>
                <w:lang w:val="en-US" w:eastAsia="zh-CN" w:bidi="ar"/>
              </w:rPr>
              <w:t>设计压力</w:t>
            </w:r>
            <w:r>
              <w:rPr>
                <w:rFonts w:hint="eastAsia" w:ascii="sans serif" w:hAnsi="sans serif" w:eastAsia="宋体" w:cs="sans serif"/>
                <w:b w:val="0"/>
                <w:i w:val="0"/>
                <w:caps w:val="0"/>
                <w:color w:val="000000"/>
                <w:spacing w:val="0"/>
                <w:kern w:val="0"/>
                <w:sz w:val="24"/>
                <w:szCs w:val="24"/>
                <w:bdr w:val="none" w:color="auto" w:sz="0" w:space="0"/>
                <w:lang w:val="en-US" w:eastAsia="zh-CN" w:bidi="ar"/>
              </w:rPr>
              <w:t>M</w:t>
            </w: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pa</w:t>
            </w:r>
          </w:p>
        </w:tc>
        <w:tc>
          <w:tcPr>
            <w:tcW w:w="1149"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设计温度℃</w:t>
            </w:r>
          </w:p>
        </w:tc>
        <w:tc>
          <w:tcPr>
            <w:tcW w:w="111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控温精度℃</w:t>
            </w:r>
          </w:p>
        </w:tc>
        <w:tc>
          <w:tcPr>
            <w:tcW w:w="87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搅拌力矩N.cm</w:t>
            </w:r>
          </w:p>
        </w:tc>
        <w:tc>
          <w:tcPr>
            <w:tcW w:w="585"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加热功率</w:t>
            </w:r>
          </w:p>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KW</w:t>
            </w:r>
          </w:p>
        </w:tc>
        <w:tc>
          <w:tcPr>
            <w:tcW w:w="1395"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62" w:hRule="atLeast"/>
        </w:trPr>
        <w:tc>
          <w:tcPr>
            <w:tcW w:w="1109"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CJF-0.05</w:t>
            </w:r>
          </w:p>
        </w:tc>
        <w:tc>
          <w:tcPr>
            <w:tcW w:w="61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0.05</w:t>
            </w:r>
          </w:p>
        </w:tc>
        <w:tc>
          <w:tcPr>
            <w:tcW w:w="130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22</w:t>
            </w:r>
          </w:p>
        </w:tc>
        <w:tc>
          <w:tcPr>
            <w:tcW w:w="1149"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350</w:t>
            </w:r>
          </w:p>
        </w:tc>
        <w:tc>
          <w:tcPr>
            <w:tcW w:w="111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w:t>
            </w:r>
          </w:p>
        </w:tc>
        <w:tc>
          <w:tcPr>
            <w:tcW w:w="87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120</w:t>
            </w:r>
          </w:p>
        </w:tc>
        <w:tc>
          <w:tcPr>
            <w:tcW w:w="585"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0.6</w:t>
            </w:r>
          </w:p>
        </w:tc>
        <w:tc>
          <w:tcPr>
            <w:tcW w:w="1395"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1GR18Ni9Ti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2" w:hRule="atLeast"/>
        </w:trPr>
        <w:tc>
          <w:tcPr>
            <w:tcW w:w="1109"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CJF-0.1</w:t>
            </w:r>
          </w:p>
        </w:tc>
        <w:tc>
          <w:tcPr>
            <w:tcW w:w="61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0.1</w:t>
            </w:r>
          </w:p>
        </w:tc>
        <w:tc>
          <w:tcPr>
            <w:tcW w:w="130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22</w:t>
            </w:r>
          </w:p>
        </w:tc>
        <w:tc>
          <w:tcPr>
            <w:tcW w:w="1149"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350</w:t>
            </w:r>
          </w:p>
        </w:tc>
        <w:tc>
          <w:tcPr>
            <w:tcW w:w="111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w:t>
            </w:r>
          </w:p>
        </w:tc>
        <w:tc>
          <w:tcPr>
            <w:tcW w:w="87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120</w:t>
            </w:r>
          </w:p>
        </w:tc>
        <w:tc>
          <w:tcPr>
            <w:tcW w:w="585"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0.6</w:t>
            </w:r>
          </w:p>
        </w:tc>
        <w:tc>
          <w:tcPr>
            <w:tcW w:w="1395"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1GR18Ni9T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2" w:hRule="atLeast"/>
        </w:trPr>
        <w:tc>
          <w:tcPr>
            <w:tcW w:w="1109"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CJF-0.25</w:t>
            </w:r>
          </w:p>
        </w:tc>
        <w:tc>
          <w:tcPr>
            <w:tcW w:w="61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0.25</w:t>
            </w:r>
          </w:p>
        </w:tc>
        <w:tc>
          <w:tcPr>
            <w:tcW w:w="130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22</w:t>
            </w:r>
          </w:p>
        </w:tc>
        <w:tc>
          <w:tcPr>
            <w:tcW w:w="1149"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350</w:t>
            </w:r>
          </w:p>
        </w:tc>
        <w:tc>
          <w:tcPr>
            <w:tcW w:w="111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w:t>
            </w:r>
          </w:p>
        </w:tc>
        <w:tc>
          <w:tcPr>
            <w:tcW w:w="87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120</w:t>
            </w:r>
          </w:p>
        </w:tc>
        <w:tc>
          <w:tcPr>
            <w:tcW w:w="585"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0.8</w:t>
            </w:r>
          </w:p>
        </w:tc>
        <w:tc>
          <w:tcPr>
            <w:tcW w:w="1395"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1GR18Ni9T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2" w:hRule="atLeast"/>
        </w:trPr>
        <w:tc>
          <w:tcPr>
            <w:tcW w:w="1109"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CJF-0.5</w:t>
            </w:r>
          </w:p>
        </w:tc>
        <w:tc>
          <w:tcPr>
            <w:tcW w:w="61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0.5</w:t>
            </w:r>
          </w:p>
        </w:tc>
        <w:tc>
          <w:tcPr>
            <w:tcW w:w="130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22</w:t>
            </w:r>
          </w:p>
        </w:tc>
        <w:tc>
          <w:tcPr>
            <w:tcW w:w="1149"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350</w:t>
            </w:r>
          </w:p>
        </w:tc>
        <w:tc>
          <w:tcPr>
            <w:tcW w:w="111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w:t>
            </w:r>
          </w:p>
        </w:tc>
        <w:tc>
          <w:tcPr>
            <w:tcW w:w="87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120</w:t>
            </w:r>
          </w:p>
        </w:tc>
        <w:tc>
          <w:tcPr>
            <w:tcW w:w="585"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1.5</w:t>
            </w:r>
          </w:p>
        </w:tc>
        <w:tc>
          <w:tcPr>
            <w:tcW w:w="1395"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1GR18Ni9T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2" w:hRule="atLeast"/>
        </w:trPr>
        <w:tc>
          <w:tcPr>
            <w:tcW w:w="1109"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CJF-1</w:t>
            </w:r>
          </w:p>
        </w:tc>
        <w:tc>
          <w:tcPr>
            <w:tcW w:w="61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w:t>
            </w:r>
          </w:p>
        </w:tc>
        <w:tc>
          <w:tcPr>
            <w:tcW w:w="130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22</w:t>
            </w:r>
          </w:p>
        </w:tc>
        <w:tc>
          <w:tcPr>
            <w:tcW w:w="1149"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350</w:t>
            </w:r>
          </w:p>
        </w:tc>
        <w:tc>
          <w:tcPr>
            <w:tcW w:w="111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w:t>
            </w:r>
          </w:p>
        </w:tc>
        <w:tc>
          <w:tcPr>
            <w:tcW w:w="87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120</w:t>
            </w:r>
          </w:p>
        </w:tc>
        <w:tc>
          <w:tcPr>
            <w:tcW w:w="585"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1.5</w:t>
            </w:r>
          </w:p>
        </w:tc>
        <w:tc>
          <w:tcPr>
            <w:tcW w:w="1395"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1GR18Ni9T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2" w:hRule="atLeast"/>
        </w:trPr>
        <w:tc>
          <w:tcPr>
            <w:tcW w:w="1109"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CJF-2</w:t>
            </w:r>
          </w:p>
        </w:tc>
        <w:tc>
          <w:tcPr>
            <w:tcW w:w="61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2</w:t>
            </w:r>
          </w:p>
        </w:tc>
        <w:tc>
          <w:tcPr>
            <w:tcW w:w="130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22</w:t>
            </w:r>
          </w:p>
        </w:tc>
        <w:tc>
          <w:tcPr>
            <w:tcW w:w="1149"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350</w:t>
            </w:r>
          </w:p>
        </w:tc>
        <w:tc>
          <w:tcPr>
            <w:tcW w:w="111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w:t>
            </w:r>
          </w:p>
        </w:tc>
        <w:tc>
          <w:tcPr>
            <w:tcW w:w="87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120</w:t>
            </w:r>
          </w:p>
        </w:tc>
        <w:tc>
          <w:tcPr>
            <w:tcW w:w="585"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2</w:t>
            </w:r>
          </w:p>
        </w:tc>
        <w:tc>
          <w:tcPr>
            <w:tcW w:w="1395"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1GR18Ni9T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2" w:hRule="atLeast"/>
        </w:trPr>
        <w:tc>
          <w:tcPr>
            <w:tcW w:w="1109"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CJF-3</w:t>
            </w:r>
          </w:p>
        </w:tc>
        <w:tc>
          <w:tcPr>
            <w:tcW w:w="61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3</w:t>
            </w:r>
          </w:p>
        </w:tc>
        <w:tc>
          <w:tcPr>
            <w:tcW w:w="130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22</w:t>
            </w:r>
          </w:p>
        </w:tc>
        <w:tc>
          <w:tcPr>
            <w:tcW w:w="1149"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350</w:t>
            </w:r>
          </w:p>
        </w:tc>
        <w:tc>
          <w:tcPr>
            <w:tcW w:w="111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w:t>
            </w:r>
          </w:p>
        </w:tc>
        <w:tc>
          <w:tcPr>
            <w:tcW w:w="87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120</w:t>
            </w:r>
          </w:p>
        </w:tc>
        <w:tc>
          <w:tcPr>
            <w:tcW w:w="585"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2.5</w:t>
            </w:r>
          </w:p>
        </w:tc>
        <w:tc>
          <w:tcPr>
            <w:tcW w:w="1395"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1GR18Ni9T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2" w:hRule="atLeast"/>
        </w:trPr>
        <w:tc>
          <w:tcPr>
            <w:tcW w:w="1109"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CJF-5</w:t>
            </w:r>
          </w:p>
        </w:tc>
        <w:tc>
          <w:tcPr>
            <w:tcW w:w="61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5</w:t>
            </w:r>
          </w:p>
        </w:tc>
        <w:tc>
          <w:tcPr>
            <w:tcW w:w="130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22</w:t>
            </w:r>
          </w:p>
        </w:tc>
        <w:tc>
          <w:tcPr>
            <w:tcW w:w="1149"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350</w:t>
            </w:r>
          </w:p>
        </w:tc>
        <w:tc>
          <w:tcPr>
            <w:tcW w:w="111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w:t>
            </w:r>
          </w:p>
        </w:tc>
        <w:tc>
          <w:tcPr>
            <w:tcW w:w="87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120</w:t>
            </w:r>
          </w:p>
        </w:tc>
        <w:tc>
          <w:tcPr>
            <w:tcW w:w="585"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4</w:t>
            </w:r>
          </w:p>
        </w:tc>
        <w:tc>
          <w:tcPr>
            <w:tcW w:w="1395"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1GR18Ni9T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3" w:hRule="atLeast"/>
        </w:trPr>
        <w:tc>
          <w:tcPr>
            <w:tcW w:w="1109"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CJF-10</w:t>
            </w:r>
          </w:p>
        </w:tc>
        <w:tc>
          <w:tcPr>
            <w:tcW w:w="61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10</w:t>
            </w:r>
          </w:p>
        </w:tc>
        <w:tc>
          <w:tcPr>
            <w:tcW w:w="130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22</w:t>
            </w:r>
          </w:p>
        </w:tc>
        <w:tc>
          <w:tcPr>
            <w:tcW w:w="1149"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350</w:t>
            </w:r>
          </w:p>
        </w:tc>
        <w:tc>
          <w:tcPr>
            <w:tcW w:w="111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w:t>
            </w:r>
          </w:p>
        </w:tc>
        <w:tc>
          <w:tcPr>
            <w:tcW w:w="87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120</w:t>
            </w:r>
          </w:p>
        </w:tc>
        <w:tc>
          <w:tcPr>
            <w:tcW w:w="585"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7</w:t>
            </w:r>
          </w:p>
        </w:tc>
        <w:tc>
          <w:tcPr>
            <w:tcW w:w="1395"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Calibri" w:hAnsi="Calibri" w:eastAsia="sans serif" w:cs="Calibri"/>
                <w:b w:val="0"/>
                <w:i w:val="0"/>
                <w:caps w:val="0"/>
                <w:color w:val="000000"/>
                <w:spacing w:val="0"/>
                <w:kern w:val="0"/>
                <w:sz w:val="24"/>
                <w:szCs w:val="24"/>
                <w:bdr w:val="none" w:color="auto" w:sz="0" w:space="0"/>
                <w:lang w:val="en-US" w:eastAsia="zh-CN" w:bidi="ar"/>
              </w:rPr>
              <w:t>1GR18Ni9T</w:t>
            </w:r>
          </w:p>
        </w:tc>
      </w:tr>
    </w:tbl>
    <w:p>
      <w:pPr>
        <w:pStyle w:val="4"/>
        <w:keepNext w:val="0"/>
        <w:keepLines w:val="0"/>
        <w:widowControl/>
        <w:suppressLineNumbers w:val="0"/>
        <w:spacing w:before="150" w:beforeAutospacing="0" w:after="0" w:afterAutospacing="0" w:line="420" w:lineRule="atLeast"/>
        <w:ind w:left="0" w:right="0"/>
        <w:rPr>
          <w:sz w:val="24"/>
          <w:szCs w:val="24"/>
        </w:rPr>
      </w:pPr>
      <w:r>
        <w:rPr>
          <w:rStyle w:val="8"/>
          <w:rFonts w:hint="default" w:ascii="Verdana" w:hAnsi="Verdana" w:cs="Verdana"/>
          <w:color w:val="000000"/>
          <w:sz w:val="24"/>
          <w:szCs w:val="24"/>
          <w:bdr w:val="none" w:color="auto" w:sz="0" w:space="0"/>
          <w:shd w:val="clear" w:fill="FEFEFE"/>
        </w:rPr>
        <w:t>小试高压反应釜技术参数：</w:t>
      </w:r>
    </w:p>
    <w:tbl>
      <w:tblPr>
        <w:tblW w:w="9458" w:type="dxa"/>
        <w:tblInd w:w="1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903"/>
        <w:gridCol w:w="1050"/>
        <w:gridCol w:w="1320"/>
        <w:gridCol w:w="1095"/>
        <w:gridCol w:w="975"/>
        <w:gridCol w:w="930"/>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491" w:hRule="atLeast"/>
        </w:trPr>
        <w:tc>
          <w:tcPr>
            <w:tcW w:w="2903"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型号</w:t>
            </w:r>
          </w:p>
        </w:tc>
        <w:tc>
          <w:tcPr>
            <w:tcW w:w="1050"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容积L</w:t>
            </w:r>
          </w:p>
        </w:tc>
        <w:tc>
          <w:tcPr>
            <w:tcW w:w="1320"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工作压力Mpa</w:t>
            </w:r>
          </w:p>
        </w:tc>
        <w:tc>
          <w:tcPr>
            <w:tcW w:w="1095"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设计温度℃</w:t>
            </w:r>
          </w:p>
        </w:tc>
        <w:tc>
          <w:tcPr>
            <w:tcW w:w="975"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搅拌力矩</w:t>
            </w:r>
          </w:p>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N·cm</w:t>
            </w:r>
          </w:p>
        </w:tc>
        <w:tc>
          <w:tcPr>
            <w:tcW w:w="930"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搅拌转速</w:t>
            </w:r>
          </w:p>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r/min</w:t>
            </w:r>
          </w:p>
        </w:tc>
        <w:tc>
          <w:tcPr>
            <w:tcW w:w="1185"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加热方式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111" w:hRule="atLeast"/>
        </w:trPr>
        <w:tc>
          <w:tcPr>
            <w:tcW w:w="2903"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WDF系列小试反应釜</w:t>
            </w:r>
          </w:p>
        </w:tc>
        <w:tc>
          <w:tcPr>
            <w:tcW w:w="1050"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0.1-3</w:t>
            </w:r>
          </w:p>
        </w:tc>
        <w:tc>
          <w:tcPr>
            <w:tcW w:w="1320"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-0.1-30.0</w:t>
            </w:r>
          </w:p>
        </w:tc>
        <w:tc>
          <w:tcPr>
            <w:tcW w:w="1095"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-10-180</w:t>
            </w:r>
          </w:p>
        </w:tc>
        <w:tc>
          <w:tcPr>
            <w:tcW w:w="975"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50-180</w:t>
            </w:r>
          </w:p>
        </w:tc>
        <w:tc>
          <w:tcPr>
            <w:tcW w:w="930"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20-1500</w:t>
            </w:r>
          </w:p>
        </w:tc>
        <w:tc>
          <w:tcPr>
            <w:tcW w:w="1185"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both"/>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电、油、蒸汽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5" w:hRule="atLeast"/>
        </w:trPr>
        <w:tc>
          <w:tcPr>
            <w:tcW w:w="2903"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WHF系列小试反应釜</w:t>
            </w:r>
          </w:p>
        </w:tc>
        <w:tc>
          <w:tcPr>
            <w:tcW w:w="1050"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0.1-25</w:t>
            </w:r>
          </w:p>
        </w:tc>
        <w:tc>
          <w:tcPr>
            <w:tcW w:w="1320"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-0.1-35.0</w:t>
            </w:r>
          </w:p>
        </w:tc>
        <w:tc>
          <w:tcPr>
            <w:tcW w:w="1095"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-10-300</w:t>
            </w:r>
          </w:p>
        </w:tc>
        <w:tc>
          <w:tcPr>
            <w:tcW w:w="975"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50-1000</w:t>
            </w:r>
          </w:p>
        </w:tc>
        <w:tc>
          <w:tcPr>
            <w:tcW w:w="930"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20-750</w:t>
            </w:r>
          </w:p>
        </w:tc>
        <w:tc>
          <w:tcPr>
            <w:tcW w:w="1185"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both"/>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电、油、蒸汽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05" w:hRule="atLeast"/>
        </w:trPr>
        <w:tc>
          <w:tcPr>
            <w:tcW w:w="2903"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WHF系列中、小反应釜</w:t>
            </w:r>
          </w:p>
        </w:tc>
        <w:tc>
          <w:tcPr>
            <w:tcW w:w="1050"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25-1000</w:t>
            </w:r>
          </w:p>
        </w:tc>
        <w:tc>
          <w:tcPr>
            <w:tcW w:w="1320"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0.1-10.0</w:t>
            </w:r>
          </w:p>
        </w:tc>
        <w:tc>
          <w:tcPr>
            <w:tcW w:w="1095"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-10-300</w:t>
            </w:r>
          </w:p>
        </w:tc>
        <w:tc>
          <w:tcPr>
            <w:tcW w:w="975"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80-820</w:t>
            </w:r>
          </w:p>
        </w:tc>
        <w:tc>
          <w:tcPr>
            <w:tcW w:w="930"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20-500</w:t>
            </w:r>
          </w:p>
        </w:tc>
        <w:tc>
          <w:tcPr>
            <w:tcW w:w="1185"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both"/>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电、油、蒸汽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05" w:hRule="atLeast"/>
        </w:trPr>
        <w:tc>
          <w:tcPr>
            <w:tcW w:w="2903"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WBF系列透明玻璃釜</w:t>
            </w:r>
          </w:p>
        </w:tc>
        <w:tc>
          <w:tcPr>
            <w:tcW w:w="1050"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1-100</w:t>
            </w:r>
          </w:p>
        </w:tc>
        <w:tc>
          <w:tcPr>
            <w:tcW w:w="1320"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0-0.6</w:t>
            </w:r>
          </w:p>
        </w:tc>
        <w:tc>
          <w:tcPr>
            <w:tcW w:w="1095"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-10-180</w:t>
            </w:r>
          </w:p>
        </w:tc>
        <w:tc>
          <w:tcPr>
            <w:tcW w:w="975"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50-1200</w:t>
            </w:r>
          </w:p>
        </w:tc>
        <w:tc>
          <w:tcPr>
            <w:tcW w:w="930"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20-500</w:t>
            </w:r>
          </w:p>
        </w:tc>
        <w:tc>
          <w:tcPr>
            <w:tcW w:w="1185"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both"/>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电、油、蒸汽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19" w:hRule="atLeast"/>
        </w:trPr>
        <w:tc>
          <w:tcPr>
            <w:tcW w:w="2903"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FCH系列环形永磁驱动搅拌器</w:t>
            </w:r>
          </w:p>
        </w:tc>
        <w:tc>
          <w:tcPr>
            <w:tcW w:w="1050"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50-10000</w:t>
            </w:r>
          </w:p>
        </w:tc>
        <w:tc>
          <w:tcPr>
            <w:tcW w:w="1320"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-0.1-35.0</w:t>
            </w:r>
          </w:p>
        </w:tc>
        <w:tc>
          <w:tcPr>
            <w:tcW w:w="1095"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-10-300</w:t>
            </w:r>
          </w:p>
        </w:tc>
        <w:tc>
          <w:tcPr>
            <w:tcW w:w="975"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50-820</w:t>
            </w:r>
          </w:p>
        </w:tc>
        <w:tc>
          <w:tcPr>
            <w:tcW w:w="930"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center"/>
              <w:rPr>
                <w:sz w:val="24"/>
                <w:szCs w:val="24"/>
              </w:rPr>
            </w:pPr>
            <w:r>
              <w:rPr>
                <w:rFonts w:hint="default" w:ascii="sans serif" w:hAnsi="sans serif" w:eastAsia="sans serif" w:cs="sans serif"/>
                <w:b w:val="0"/>
                <w:i w:val="0"/>
                <w:caps w:val="0"/>
                <w:color w:val="000000"/>
                <w:spacing w:val="0"/>
                <w:kern w:val="0"/>
                <w:sz w:val="24"/>
                <w:szCs w:val="24"/>
                <w:bdr w:val="none" w:color="auto" w:sz="0" w:space="0"/>
                <w:lang w:val="en-US" w:eastAsia="zh-CN" w:bidi="ar"/>
              </w:rPr>
              <w:t>20-500</w:t>
            </w:r>
          </w:p>
        </w:tc>
        <w:tc>
          <w:tcPr>
            <w:tcW w:w="1185" w:type="dxa"/>
            <w:tcBorders>
              <w:top w:val="outset" w:color="auto" w:sz="6" w:space="0"/>
              <w:left w:val="nil"/>
              <w:bottom w:val="outset" w:color="auto" w:sz="6" w:space="0"/>
              <w:right w:val="outset" w:color="auto" w:sz="6" w:space="0"/>
            </w:tcBorders>
            <w:shd w:val="clear"/>
            <w:vAlign w:val="center"/>
          </w:tcPr>
          <w:p>
            <w:pPr>
              <w:pStyle w:val="4"/>
              <w:keepNext w:val="0"/>
              <w:keepLines w:val="0"/>
              <w:widowControl/>
              <w:suppressLineNumbers w:val="0"/>
              <w:spacing w:before="75" w:beforeAutospacing="0" w:after="75" w:afterAutospacing="0" w:line="240" w:lineRule="atLeast"/>
              <w:ind w:left="0" w:right="0"/>
              <w:jc w:val="both"/>
              <w:rPr>
                <w:sz w:val="24"/>
                <w:szCs w:val="24"/>
              </w:rPr>
            </w:pPr>
            <w:r>
              <w:rPr>
                <w:rFonts w:hint="default" w:ascii="Calibri" w:hAnsi="Calibri" w:eastAsia="sans serif" w:cs="Calibri"/>
                <w:b w:val="0"/>
                <w:i w:val="0"/>
                <w:caps w:val="0"/>
                <w:color w:val="000000"/>
                <w:spacing w:val="0"/>
                <w:kern w:val="0"/>
                <w:sz w:val="24"/>
                <w:szCs w:val="24"/>
                <w:bdr w:val="none" w:color="auto" w:sz="0" w:space="0"/>
                <w:lang w:val="en-US" w:eastAsia="zh-CN" w:bidi="ar"/>
              </w:rPr>
              <w:t>电、油、蒸汽</w:t>
            </w:r>
          </w:p>
        </w:tc>
      </w:tr>
    </w:tbl>
    <w:p>
      <w:pPr>
        <w:tabs>
          <w:tab w:val="left" w:pos="6560"/>
        </w:tabs>
        <w:spacing w:line="0" w:lineRule="atLeast"/>
        <w:rPr>
          <w:rStyle w:val="8"/>
          <w:rFonts w:hint="default" w:ascii="Verdana" w:hAnsi="Verdana" w:eastAsia="宋体" w:cs="Verdana"/>
          <w:i w:val="0"/>
          <w:caps w:val="0"/>
          <w:color w:val="000000"/>
          <w:spacing w:val="0"/>
          <w:sz w:val="24"/>
          <w:szCs w:val="24"/>
          <w:shd w:val="clear" w:fill="FEFEFE"/>
          <w:lang w:val="en-US" w:eastAsia="zh-CN"/>
        </w:rPr>
      </w:pPr>
    </w:p>
    <w:sectPr>
      <w:type w:val="continuous"/>
      <w:pgSz w:w="11900" w:h="16838"/>
      <w:pgMar w:top="872" w:right="1240" w:bottom="500" w:left="152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val="0"/>
  <w:bordersDoNotSurroundFooter w:val="0"/>
  <w:attachedTemplate r:id="rId1"/>
  <w:documentProtection w:enforcement="0"/>
  <w:defaultTabStop w:val="720"/>
  <w:hyphenationZone w:val="36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78"/>
    <w:rsid w:val="000B5190"/>
    <w:rsid w:val="00B02778"/>
    <w:rsid w:val="014C3AF4"/>
    <w:rsid w:val="01D02953"/>
    <w:rsid w:val="02C84D56"/>
    <w:rsid w:val="02CC7E50"/>
    <w:rsid w:val="02FC327E"/>
    <w:rsid w:val="04284D14"/>
    <w:rsid w:val="04396F3B"/>
    <w:rsid w:val="04A8432A"/>
    <w:rsid w:val="05A36D43"/>
    <w:rsid w:val="06007336"/>
    <w:rsid w:val="064B3B08"/>
    <w:rsid w:val="07A170BC"/>
    <w:rsid w:val="07DB40CC"/>
    <w:rsid w:val="07FF7233"/>
    <w:rsid w:val="08510CE9"/>
    <w:rsid w:val="085C0A6C"/>
    <w:rsid w:val="08AA4929"/>
    <w:rsid w:val="09C82DA2"/>
    <w:rsid w:val="0AD752B3"/>
    <w:rsid w:val="0DF509B3"/>
    <w:rsid w:val="0F181242"/>
    <w:rsid w:val="0F6A4BA8"/>
    <w:rsid w:val="0FE31FEE"/>
    <w:rsid w:val="11345157"/>
    <w:rsid w:val="11D05DCC"/>
    <w:rsid w:val="11D76EEC"/>
    <w:rsid w:val="127877AC"/>
    <w:rsid w:val="135822E2"/>
    <w:rsid w:val="136850B3"/>
    <w:rsid w:val="147F067B"/>
    <w:rsid w:val="1572276F"/>
    <w:rsid w:val="15E25BAE"/>
    <w:rsid w:val="16B14A8F"/>
    <w:rsid w:val="17AB6F50"/>
    <w:rsid w:val="17CA14F8"/>
    <w:rsid w:val="18B61885"/>
    <w:rsid w:val="18B6579B"/>
    <w:rsid w:val="18CA3339"/>
    <w:rsid w:val="1A0D2627"/>
    <w:rsid w:val="1A264DEA"/>
    <w:rsid w:val="1A666F21"/>
    <w:rsid w:val="1AED6233"/>
    <w:rsid w:val="1B7E6E7E"/>
    <w:rsid w:val="1C1E77E9"/>
    <w:rsid w:val="1D203A09"/>
    <w:rsid w:val="1E0928E4"/>
    <w:rsid w:val="1E332502"/>
    <w:rsid w:val="1E7E0154"/>
    <w:rsid w:val="1EB262C8"/>
    <w:rsid w:val="20582949"/>
    <w:rsid w:val="208A66F9"/>
    <w:rsid w:val="20B7256A"/>
    <w:rsid w:val="211C5C70"/>
    <w:rsid w:val="21942F78"/>
    <w:rsid w:val="219727CF"/>
    <w:rsid w:val="21EF4AF6"/>
    <w:rsid w:val="22197613"/>
    <w:rsid w:val="22482A98"/>
    <w:rsid w:val="23812FC7"/>
    <w:rsid w:val="2434444E"/>
    <w:rsid w:val="25E66EA4"/>
    <w:rsid w:val="26623AF7"/>
    <w:rsid w:val="272A7A8A"/>
    <w:rsid w:val="27652DF1"/>
    <w:rsid w:val="28135E3C"/>
    <w:rsid w:val="29AF663B"/>
    <w:rsid w:val="2B002C4D"/>
    <w:rsid w:val="2D433D3E"/>
    <w:rsid w:val="2DF23CEE"/>
    <w:rsid w:val="2E2753E3"/>
    <w:rsid w:val="2FCA7352"/>
    <w:rsid w:val="2FD82856"/>
    <w:rsid w:val="31305791"/>
    <w:rsid w:val="31E01D5F"/>
    <w:rsid w:val="33161D68"/>
    <w:rsid w:val="344500DE"/>
    <w:rsid w:val="344838A5"/>
    <w:rsid w:val="36092762"/>
    <w:rsid w:val="373F46C3"/>
    <w:rsid w:val="37AA5840"/>
    <w:rsid w:val="383A39D8"/>
    <w:rsid w:val="396B319D"/>
    <w:rsid w:val="3B466CE4"/>
    <w:rsid w:val="3BEC066B"/>
    <w:rsid w:val="3C340EA5"/>
    <w:rsid w:val="3D103A3F"/>
    <w:rsid w:val="3D307765"/>
    <w:rsid w:val="3D80598A"/>
    <w:rsid w:val="3D884A29"/>
    <w:rsid w:val="3F7D4705"/>
    <w:rsid w:val="3F8A0726"/>
    <w:rsid w:val="3FFF6EC7"/>
    <w:rsid w:val="40A84994"/>
    <w:rsid w:val="40EA09A8"/>
    <w:rsid w:val="439E3CF3"/>
    <w:rsid w:val="43F06C30"/>
    <w:rsid w:val="43FD4EE3"/>
    <w:rsid w:val="443D7E07"/>
    <w:rsid w:val="444B0D02"/>
    <w:rsid w:val="45FA6C0A"/>
    <w:rsid w:val="475426CD"/>
    <w:rsid w:val="4A070D97"/>
    <w:rsid w:val="4A371A84"/>
    <w:rsid w:val="4A51451A"/>
    <w:rsid w:val="4B2F2058"/>
    <w:rsid w:val="4B792F35"/>
    <w:rsid w:val="4B9F4A60"/>
    <w:rsid w:val="4DC571A1"/>
    <w:rsid w:val="4E407C5C"/>
    <w:rsid w:val="4F790F26"/>
    <w:rsid w:val="4F975B21"/>
    <w:rsid w:val="4FDC1B95"/>
    <w:rsid w:val="500F4B1A"/>
    <w:rsid w:val="52D54CF6"/>
    <w:rsid w:val="54A11DCD"/>
    <w:rsid w:val="54A63083"/>
    <w:rsid w:val="559C2E84"/>
    <w:rsid w:val="58136CBC"/>
    <w:rsid w:val="587869DC"/>
    <w:rsid w:val="58B2326E"/>
    <w:rsid w:val="593E2093"/>
    <w:rsid w:val="5A0D170D"/>
    <w:rsid w:val="5A1920CA"/>
    <w:rsid w:val="5B285F8A"/>
    <w:rsid w:val="5B397797"/>
    <w:rsid w:val="5BA21367"/>
    <w:rsid w:val="5C0B3EDC"/>
    <w:rsid w:val="5C7C0F9E"/>
    <w:rsid w:val="5EB3346C"/>
    <w:rsid w:val="5FC41AAB"/>
    <w:rsid w:val="5FDD5045"/>
    <w:rsid w:val="61F173E7"/>
    <w:rsid w:val="623E1074"/>
    <w:rsid w:val="62FE037E"/>
    <w:rsid w:val="63094A81"/>
    <w:rsid w:val="64A83164"/>
    <w:rsid w:val="64EE690C"/>
    <w:rsid w:val="654A17E9"/>
    <w:rsid w:val="65810D71"/>
    <w:rsid w:val="66107A65"/>
    <w:rsid w:val="66403A79"/>
    <w:rsid w:val="67316339"/>
    <w:rsid w:val="67B84D48"/>
    <w:rsid w:val="69705E7E"/>
    <w:rsid w:val="69D35570"/>
    <w:rsid w:val="6ACC5E07"/>
    <w:rsid w:val="6CFA358F"/>
    <w:rsid w:val="6D0241D9"/>
    <w:rsid w:val="6D680D7E"/>
    <w:rsid w:val="6D9E073E"/>
    <w:rsid w:val="6DCF5485"/>
    <w:rsid w:val="70EC6FCB"/>
    <w:rsid w:val="717A0F44"/>
    <w:rsid w:val="737F6ECA"/>
    <w:rsid w:val="74ED1601"/>
    <w:rsid w:val="75B93E69"/>
    <w:rsid w:val="764A4AC2"/>
    <w:rsid w:val="76561D6C"/>
    <w:rsid w:val="76F1583B"/>
    <w:rsid w:val="77357953"/>
    <w:rsid w:val="7745452C"/>
    <w:rsid w:val="77C2317F"/>
    <w:rsid w:val="78587D99"/>
    <w:rsid w:val="7A1A53CF"/>
    <w:rsid w:val="7A751A44"/>
    <w:rsid w:val="7ABD4BBF"/>
    <w:rsid w:val="7C282BCB"/>
    <w:rsid w:val="7CC30FFA"/>
    <w:rsid w:val="7DCA176E"/>
    <w:rsid w:val="7E785F59"/>
    <w:rsid w:val="7E8A7101"/>
    <w:rsid w:val="7EA24EBA"/>
    <w:rsid w:val="7F432FB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Arial"/>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7">
    <w:name w:val="Default Paragraph Font"/>
    <w:unhideWhenUsed/>
    <w:qFormat/>
    <w:uiPriority w:val="1"/>
  </w:style>
  <w:style w:type="table" w:default="1" w:styleId="5">
    <w:name w:val="Normal Table"/>
    <w:unhideWhenUsed/>
    <w:qFormat/>
    <w:uiPriority w:val="99"/>
    <w:tblPr>
      <w:tblLayout w:type="fixed"/>
    </w:tblPr>
  </w:style>
  <w:style w:type="paragraph" w:styleId="3">
    <w:name w:val="Balloon Text"/>
    <w:basedOn w:val="1"/>
    <w:link w:val="12"/>
    <w:qFormat/>
    <w:uiPriority w:val="0"/>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0"/>
    <w:rPr>
      <w:b/>
    </w:rPr>
  </w:style>
  <w:style w:type="character" w:styleId="9">
    <w:name w:val="FollowedHyperlink"/>
    <w:basedOn w:val="7"/>
    <w:uiPriority w:val="0"/>
    <w:rPr>
      <w:color w:val="444444"/>
      <w:u w:val="none"/>
    </w:rPr>
  </w:style>
  <w:style w:type="character" w:styleId="10">
    <w:name w:val="Hyperlink"/>
    <w:basedOn w:val="7"/>
    <w:uiPriority w:val="0"/>
    <w:rPr>
      <w:color w:val="444444"/>
      <w:u w:val="none"/>
    </w:rPr>
  </w:style>
  <w:style w:type="paragraph" w:customStyle="1" w:styleId="11">
    <w:name w:val="_Style 2"/>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2">
    <w:name w:val="批注框文本 Char"/>
    <w:basedOn w:val="7"/>
    <w:link w:val="3"/>
    <w:semiHidden/>
    <w:qFormat/>
    <w:uiPriority w:val="99"/>
    <w:rPr>
      <w:sz w:val="18"/>
      <w:szCs w:val="18"/>
    </w:rPr>
  </w:style>
  <w:style w:type="character" w:customStyle="1" w:styleId="13">
    <w:name w:val="fr"/>
    <w:basedOn w:val="7"/>
    <w:uiPriority w:val="0"/>
  </w:style>
  <w:style w:type="character" w:customStyle="1" w:styleId="14">
    <w:name w:val="fr1"/>
    <w:basedOn w:val="7"/>
    <w:uiPriority w:val="0"/>
  </w:style>
  <w:style w:type="character" w:customStyle="1" w:styleId="15">
    <w:name w:val="fr2"/>
    <w:basedOn w:val="7"/>
    <w:uiPriority w:val="0"/>
  </w:style>
  <w:style w:type="character" w:customStyle="1" w:styleId="16">
    <w:name w:val="info"/>
    <w:basedOn w:val="7"/>
    <w:uiPriority w:val="0"/>
    <w:rPr>
      <w:color w:val="555555"/>
      <w:bdr w:val="none" w:color="auto" w:sz="0" w:space="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dc8bf2a83d2b6f31d1dd60d75be1c40ad2aec94c\&#29992;&#25143;&#25152;&#38656;&#20135;&#21697;&#25253;&#20215;&#21333;.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用户所需产品报价单.doc</Template>
  <Pages>5</Pages>
  <Words>870</Words>
  <Characters>1439</Characters>
  <TotalTime>4</TotalTime>
  <ScaleCrop>false</ScaleCrop>
  <LinksUpToDate>false</LinksUpToDate>
  <CharactersWithSpaces>1505</CharactersWithSpaces>
  <Application>WPS Office_11.1.0.8808_F1E327BC-269C-435d-A152-05C5408002CA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2018-01-13T08:59:00Z</dcterms:created>
  <dc:creator>予华仪器@刘辉</dc:creator>
  <cp:lastModifiedBy>予华仪器@刘辉</cp:lastModifiedBy>
  <dcterms:modified xsi:type="dcterms:W3CDTF">2019-07-31T09:27:37Z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