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b/>
          <w:bCs/>
          <w:sz w:val="30"/>
          <w:szCs w:val="30"/>
          <w:lang w:val="en-US" w:eastAsia="zh-CN"/>
        </w:rPr>
      </w:pPr>
      <w:bookmarkStart w:id="0" w:name="page2"/>
      <w:bookmarkEnd w:id="0"/>
      <w:r>
        <w:rPr>
          <w:rFonts w:hint="eastAsia"/>
          <w:lang w:val="en-US" w:eastAsia="zh-CN"/>
        </w:rPr>
        <w:t xml:space="preserve">                                         </w:t>
      </w:r>
      <w:r>
        <w:rPr>
          <w:rFonts w:hint="eastAsia"/>
          <w:b/>
          <w:bCs/>
          <w:sz w:val="30"/>
          <w:szCs w:val="30"/>
          <w:lang w:val="en-US" w:eastAsia="zh-CN"/>
        </w:rPr>
        <w:t xml:space="preserve"> </w:t>
      </w:r>
    </w:p>
    <w:tbl>
      <w:tblPr>
        <w:tblStyle w:val="6"/>
        <w:tblW w:w="10440" w:type="dxa"/>
        <w:tblInd w:w="0" w:type="dxa"/>
        <w:tblBorders>
          <w:top w:val="none" w:color="auto" w:sz="0" w:space="0"/>
          <w:left w:val="none" w:color="auto" w:sz="0" w:space="0"/>
          <w:bottom w:val="thickThinSmallGap" w:color="auto" w:sz="2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44"/>
        <w:gridCol w:w="6996"/>
      </w:tblGrid>
      <w:tr>
        <w:tblPrEx>
          <w:tblBorders>
            <w:top w:val="none" w:color="auto" w:sz="0" w:space="0"/>
            <w:left w:val="none" w:color="auto" w:sz="0" w:space="0"/>
            <w:bottom w:val="thickThinSmallGap" w:color="auto" w:sz="2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74" w:hRule="atLeast"/>
        </w:trPr>
        <w:tc>
          <w:tcPr>
            <w:tcW w:w="3444" w:type="dxa"/>
            <w:vMerge w:val="restart"/>
            <w:noWrap w:val="0"/>
            <w:vAlign w:val="top"/>
          </w:tcPr>
          <w:p>
            <w:pPr>
              <w:widowControl/>
              <w:jc w:val="center"/>
              <w:rPr>
                <w:rFonts w:hint="eastAsia" w:ascii="宋体" w:hAnsi="宋体" w:cs="宋体"/>
                <w:kern w:val="0"/>
                <w:sz w:val="24"/>
                <w:szCs w:val="24"/>
              </w:rPr>
            </w:pPr>
            <w:r>
              <w:drawing>
                <wp:inline distT="0" distB="0" distL="114300" distR="114300">
                  <wp:extent cx="2132965" cy="566420"/>
                  <wp:effectExtent l="0" t="0" r="635" b="5080"/>
                  <wp:docPr id="2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
                          <pic:cNvPicPr>
                            <a:picLocks noChangeAspect="1"/>
                          </pic:cNvPicPr>
                        </pic:nvPicPr>
                        <pic:blipFill>
                          <a:blip r:embed="rId4"/>
                          <a:stretch>
                            <a:fillRect/>
                          </a:stretch>
                        </pic:blipFill>
                        <pic:spPr>
                          <a:xfrm>
                            <a:off x="0" y="0"/>
                            <a:ext cx="2132965" cy="566420"/>
                          </a:xfrm>
                          <a:prstGeom prst="rect">
                            <a:avLst/>
                          </a:prstGeom>
                          <a:noFill/>
                          <a:ln>
                            <a:noFill/>
                          </a:ln>
                        </pic:spPr>
                      </pic:pic>
                    </a:graphicData>
                  </a:graphic>
                </wp:inline>
              </w:drawing>
            </w:r>
            <w:bookmarkStart w:id="1" w:name="_GoBack"/>
            <w:bookmarkEnd w:id="1"/>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CflH51rgEAAE0D&#10;AAAOAAAAAAAAAAEAIAAAAB4BAABkcnMvZTJvRG9jLnhtbFBLBQYAAAAABgAGAFkBAAA+BQAAAAA=&#10;">
                      <v:fill on="f" focussize="0,0"/>
                      <v:stroke on="f"/>
                      <v:imagedata o:title=""/>
                      <o:lock v:ext="edit" aspectratio="f"/>
                      <v:textbox inset="0mm,0mm,0mm,0mm" style="mso-fit-shape-to-text:t;">
                        <w:txbxContent>
                          <w:p>
                            <w:pPr>
                              <w:pStyle w:val="4"/>
                              <w:rPr>
                                <w:rFonts w:hint="eastAsia" w:eastAsia="宋体"/>
                                <w:lang w:eastAsia="zh-CN"/>
                              </w:rPr>
                            </w:pPr>
                          </w:p>
                        </w:txbxContent>
                      </v:textbox>
                    </v:shape>
                  </w:pict>
                </mc:Fallback>
              </mc:AlternateContent>
            </w:r>
          </w:p>
        </w:tc>
        <w:tc>
          <w:tcPr>
            <w:tcW w:w="6996" w:type="dxa"/>
            <w:noWrap w:val="0"/>
            <w:vAlign w:val="top"/>
          </w:tcPr>
          <w:p>
            <w:pPr>
              <w:rPr>
                <w:rStyle w:val="12"/>
              </w:rPr>
            </w:pPr>
            <w:r>
              <w:rPr>
                <w:rFonts w:hint="eastAsia" w:ascii="黑体" w:hAnsi="宋体" w:eastAsia="黑体"/>
                <w:sz w:val="28"/>
              </w:rPr>
              <w:t>——</w:t>
            </w:r>
            <w:r>
              <w:rPr>
                <w:rStyle w:val="12"/>
              </w:rPr>
              <w:t>巩义市予华仪器有限公司是唯一一家在工商总局注册</w:t>
            </w:r>
          </w:p>
          <w:p>
            <w:pPr>
              <w:rPr>
                <w:rFonts w:hint="eastAsia" w:ascii="黑体" w:hAnsi="宋体" w:eastAsia="黑体"/>
                <w:i/>
                <w:sz w:val="28"/>
              </w:rPr>
            </w:pPr>
            <w:r>
              <w:rPr>
                <w:rStyle w:val="12"/>
              </w:rPr>
              <w:t>“予华仪器”品牌的企业</w:t>
            </w:r>
          </w:p>
        </w:tc>
      </w:tr>
      <w:tr>
        <w:tblPrEx>
          <w:tblBorders>
            <w:top w:val="none" w:color="auto" w:sz="0" w:space="0"/>
            <w:left w:val="none" w:color="auto" w:sz="0" w:space="0"/>
            <w:bottom w:val="thickThinSmallGap" w:color="auto" w:sz="2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46" w:hRule="atLeast"/>
        </w:trPr>
        <w:tc>
          <w:tcPr>
            <w:tcW w:w="3444" w:type="dxa"/>
            <w:vMerge w:val="continue"/>
            <w:noWrap w:val="0"/>
            <w:vAlign w:val="top"/>
          </w:tcPr>
          <w:p>
            <w:pPr>
              <w:rPr>
                <w:rFonts w:hint="eastAsia" w:ascii="宋体" w:hAnsi="宋体"/>
                <w:i/>
                <w:sz w:val="24"/>
              </w:rPr>
            </w:pPr>
          </w:p>
        </w:tc>
        <w:tc>
          <w:tcPr>
            <w:tcW w:w="6996" w:type="dxa"/>
            <w:noWrap w:val="0"/>
            <w:vAlign w:val="center"/>
          </w:tcPr>
          <w:p>
            <w:pPr>
              <w:wordWrap w:val="0"/>
              <w:ind w:right="420" w:firstLine="1441" w:firstLineChars="450"/>
              <w:rPr>
                <w:rFonts w:hint="eastAsia" w:ascii="黑体" w:hAnsi="宋体" w:eastAsia="黑体"/>
                <w:b/>
                <w:i/>
                <w:sz w:val="32"/>
                <w:szCs w:val="32"/>
              </w:rPr>
            </w:pPr>
            <w:r>
              <w:rPr>
                <w:rStyle w:val="12"/>
                <w:b/>
                <w:sz w:val="32"/>
                <w:szCs w:val="32"/>
              </w:rPr>
              <w:t>巩义市予华仪器有限</w:t>
            </w:r>
            <w:r>
              <w:rPr>
                <w:rStyle w:val="12"/>
                <w:rFonts w:hint="eastAsia"/>
                <w:b/>
                <w:sz w:val="32"/>
                <w:szCs w:val="32"/>
              </w:rPr>
              <w:t>责任</w:t>
            </w:r>
            <w:r>
              <w:rPr>
                <w:rStyle w:val="12"/>
                <w:b/>
                <w:sz w:val="32"/>
                <w:szCs w:val="32"/>
              </w:rPr>
              <w:t>公司</w:t>
            </w:r>
          </w:p>
        </w:tc>
      </w:tr>
      <w:tr>
        <w:tblPrEx>
          <w:tblBorders>
            <w:top w:val="none" w:color="auto" w:sz="0" w:space="0"/>
            <w:left w:val="none" w:color="auto" w:sz="0" w:space="0"/>
            <w:bottom w:val="thickThinSmallGap" w:color="auto" w:sz="2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7" w:hRule="atLeast"/>
        </w:trPr>
        <w:tc>
          <w:tcPr>
            <w:tcW w:w="3444" w:type="dxa"/>
            <w:noWrap w:val="0"/>
            <w:vAlign w:val="top"/>
          </w:tcPr>
          <w:p>
            <w:pPr>
              <w:rPr>
                <w:rFonts w:ascii="Arial" w:hAnsi="Arial" w:eastAsia="黑体"/>
                <w:i/>
              </w:rPr>
            </w:pPr>
          </w:p>
        </w:tc>
        <w:tc>
          <w:tcPr>
            <w:tcW w:w="6996" w:type="dxa"/>
            <w:noWrap w:val="0"/>
            <w:vAlign w:val="top"/>
          </w:tcPr>
          <w:p>
            <w:pPr>
              <w:rPr>
                <w:rFonts w:hint="eastAsia" w:ascii="黑体" w:hAnsi="宋体" w:eastAsia="黑体"/>
                <w:i/>
              </w:rPr>
            </w:pPr>
            <w:r>
              <w:rPr>
                <w:rFonts w:hint="eastAsia" w:ascii="黑体" w:hAnsi="宋体" w:eastAsia="黑体"/>
                <w:color w:val="000000"/>
              </w:rPr>
              <w:t>地址:</w:t>
            </w:r>
            <w:r>
              <w:rPr>
                <w:rFonts w:hint="eastAsia" w:ascii="黑体" w:hAnsi="宋体" w:eastAsia="黑体"/>
                <w:color w:val="000000"/>
                <w:lang w:eastAsia="zh-CN"/>
              </w:rPr>
              <w:t>河南省巩义市英峪工业区</w:t>
            </w:r>
          </w:p>
        </w:tc>
      </w:tr>
    </w:tbl>
    <w:p>
      <w:pPr>
        <w:pStyle w:val="4"/>
        <w:rPr>
          <w:rFonts w:hint="eastAsia" w:eastAsia="黑体"/>
          <w:b/>
          <w:w w:val="150"/>
          <w:sz w:val="24"/>
          <w:lang w:eastAsia="zh-CN"/>
        </w:rPr>
      </w:pPr>
      <w:r>
        <w:rPr>
          <w:rFonts w:hint="eastAsia" w:eastAsia="黑体"/>
          <w:b/>
          <w:w w:val="150"/>
          <w:sz w:val="24"/>
          <w:lang w:eastAsia="zh-CN"/>
        </w:rPr>
        <w:t>产品技术参数</w:t>
      </w:r>
    </w:p>
    <w:p>
      <w:pPr>
        <w:ind w:firstLine="1928" w:firstLineChars="600"/>
        <w:rPr>
          <w:rFonts w:ascii="Verdana" w:hAnsi="Verdana" w:eastAsia="宋体" w:cs="Verdana"/>
          <w:b/>
          <w:i w:val="0"/>
          <w:caps w:val="0"/>
          <w:color w:val="444444"/>
          <w:spacing w:val="0"/>
          <w:sz w:val="32"/>
          <w:szCs w:val="32"/>
          <w:shd w:val="clear" w:fill="FFFFFF"/>
        </w:rPr>
      </w:pPr>
      <w:r>
        <w:rPr>
          <w:rFonts w:ascii="Verdana" w:hAnsi="Verdana" w:eastAsia="宋体" w:cs="Verdana"/>
          <w:b/>
          <w:i w:val="0"/>
          <w:caps w:val="0"/>
          <w:color w:val="444444"/>
          <w:spacing w:val="0"/>
          <w:sz w:val="32"/>
          <w:szCs w:val="32"/>
          <w:shd w:val="clear" w:fill="FFFFFF"/>
        </w:rPr>
        <w:t>GDSZ-300L/-40℃高低温循环装置</w:t>
      </w:r>
    </w:p>
    <w:p>
      <w:pPr>
        <w:ind w:left="2400" w:hanging="2101" w:hangingChars="1000"/>
      </w:pPr>
      <w:r>
        <w:rPr>
          <w:rFonts w:hint="eastAsia" w:ascii="Verdana" w:hAnsi="Verdana" w:cs="Verdana"/>
          <w:b/>
          <w:i w:val="0"/>
          <w:caps w:val="0"/>
          <w:color w:val="444444"/>
          <w:spacing w:val="0"/>
          <w:sz w:val="21"/>
          <w:szCs w:val="21"/>
          <w:shd w:val="clear" w:fill="FFFFFF"/>
          <w:lang w:val="en-US" w:eastAsia="zh-CN"/>
        </w:rPr>
        <w:t xml:space="preserve">                          </w:t>
      </w:r>
      <w:r>
        <w:drawing>
          <wp:inline distT="0" distB="0" distL="114300" distR="114300">
            <wp:extent cx="3504565" cy="2626360"/>
            <wp:effectExtent l="0" t="0" r="635" b="254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5"/>
                    <a:stretch>
                      <a:fillRect/>
                    </a:stretch>
                  </pic:blipFill>
                  <pic:spPr>
                    <a:xfrm>
                      <a:off x="0" y="0"/>
                      <a:ext cx="3504565" cy="2626360"/>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0"/>
        <w:rPr>
          <w:rFonts w:ascii="Verdana" w:hAnsi="Verdana" w:cs="Verdana"/>
          <w:b w:val="0"/>
          <w:i w:val="0"/>
          <w:caps w:val="0"/>
          <w:color w:val="444444"/>
          <w:spacing w:val="0"/>
          <w:sz w:val="24"/>
          <w:szCs w:val="24"/>
        </w:rPr>
      </w:pPr>
      <w:r>
        <w:rPr>
          <w:rStyle w:val="9"/>
          <w:rFonts w:hint="default" w:ascii="Verdana" w:hAnsi="Verdana" w:cs="Verdana"/>
          <w:i w:val="0"/>
          <w:caps w:val="0"/>
          <w:color w:val="000000"/>
          <w:spacing w:val="0"/>
          <w:sz w:val="30"/>
          <w:szCs w:val="30"/>
          <w:shd w:val="clear" w:fill="FEFEFE"/>
        </w:rPr>
        <w:t>GDSZ-300L/-40℃高低温循环装置概述：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0"/>
        <w:rPr>
          <w:rFonts w:hint="default" w:ascii="Verdana" w:hAnsi="Verdana" w:cs="Verdana"/>
          <w:b w:val="0"/>
          <w:i w:val="0"/>
          <w:caps w:val="0"/>
          <w:color w:val="444444"/>
          <w:spacing w:val="0"/>
          <w:sz w:val="24"/>
          <w:szCs w:val="24"/>
        </w:rPr>
      </w:pPr>
      <w:r>
        <w:rPr>
          <w:rFonts w:hint="default" w:ascii="Verdana" w:hAnsi="Verdana" w:cs="Verdana"/>
          <w:b w:val="0"/>
          <w:i w:val="0"/>
          <w:caps w:val="0"/>
          <w:color w:val="000000"/>
          <w:spacing w:val="0"/>
          <w:sz w:val="24"/>
          <w:szCs w:val="24"/>
          <w:shd w:val="clear" w:fill="FEFEF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0"/>
        <w:rPr>
          <w:rFonts w:hint="default" w:ascii="Verdana" w:hAnsi="Verdana" w:cs="Verdana"/>
          <w:b w:val="0"/>
          <w:i w:val="0"/>
          <w:caps w:val="0"/>
          <w:color w:val="444444"/>
          <w:spacing w:val="0"/>
          <w:sz w:val="24"/>
          <w:szCs w:val="24"/>
        </w:rPr>
      </w:pPr>
      <w:r>
        <w:rPr>
          <w:rFonts w:hint="default" w:ascii="Verdana" w:hAnsi="Verdana" w:cs="Verdana"/>
          <w:b w:val="0"/>
          <w:i w:val="0"/>
          <w:caps w:val="0"/>
          <w:color w:val="000000"/>
          <w:spacing w:val="0"/>
          <w:sz w:val="24"/>
          <w:szCs w:val="24"/>
          <w:shd w:val="clear" w:fill="FEFEFE"/>
        </w:rPr>
        <w:t>  该产品已获国家专利，专利号：ZL201020214881.4 201010191432.7</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0"/>
        <w:rPr>
          <w:rFonts w:hint="default" w:ascii="Verdana" w:hAnsi="Verdana" w:cs="Verdana"/>
          <w:b w:val="0"/>
          <w:i w:val="0"/>
          <w:caps w:val="0"/>
          <w:color w:val="444444"/>
          <w:spacing w:val="0"/>
          <w:sz w:val="24"/>
          <w:szCs w:val="24"/>
        </w:rPr>
      </w:pPr>
      <w:r>
        <w:rPr>
          <w:rFonts w:hint="default" w:ascii="Verdana" w:hAnsi="Verdana" w:cs="Verdana"/>
          <w:b w:val="0"/>
          <w:i w:val="0"/>
          <w:caps w:val="0"/>
          <w:color w:val="000000"/>
          <w:spacing w:val="0"/>
          <w:sz w:val="24"/>
          <w:szCs w:val="24"/>
          <w:shd w:val="clear" w:fill="FEFEF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0"/>
        <w:rPr>
          <w:rFonts w:hint="default" w:ascii="Verdana" w:hAnsi="Verdana" w:cs="Verdana"/>
          <w:b w:val="0"/>
          <w:i w:val="0"/>
          <w:caps w:val="0"/>
          <w:color w:val="444444"/>
          <w:spacing w:val="0"/>
          <w:sz w:val="24"/>
          <w:szCs w:val="24"/>
        </w:rPr>
      </w:pPr>
      <w:r>
        <w:rPr>
          <w:rFonts w:hint="default" w:ascii="Verdana" w:hAnsi="Verdana" w:cs="Verdana"/>
          <w:b w:val="0"/>
          <w:i w:val="0"/>
          <w:caps w:val="0"/>
          <w:color w:val="000000"/>
          <w:spacing w:val="0"/>
          <w:sz w:val="24"/>
          <w:szCs w:val="24"/>
          <w:shd w:val="clear" w:fill="FEFEFE"/>
        </w:rPr>
        <w:t>  高低温系列装置整个系统的液体循环是密闭的，系统带有膨胀容器，膨胀容器和液体循环系统是绝热的，不参与液体循环，只是机械的连接，不管循环液体的温度如何，膨胀容器中的介质始终保持室温。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0"/>
        <w:rPr>
          <w:rFonts w:hint="default" w:ascii="Verdana" w:hAnsi="Verdana" w:cs="Verdana"/>
          <w:b w:val="0"/>
          <w:i w:val="0"/>
          <w:caps w:val="0"/>
          <w:color w:val="444444"/>
          <w:spacing w:val="0"/>
          <w:sz w:val="24"/>
          <w:szCs w:val="24"/>
        </w:rPr>
      </w:pPr>
      <w:r>
        <w:rPr>
          <w:rFonts w:hint="default" w:ascii="Verdana" w:hAnsi="Verdana" w:cs="Verdana"/>
          <w:b w:val="0"/>
          <w:i w:val="0"/>
          <w:caps w:val="0"/>
          <w:color w:val="000000"/>
          <w:spacing w:val="0"/>
          <w:sz w:val="24"/>
          <w:szCs w:val="24"/>
          <w:shd w:val="clear" w:fill="FEFEF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0"/>
        <w:rPr>
          <w:rFonts w:hint="default" w:ascii="Verdana" w:hAnsi="Verdana" w:cs="Verdana"/>
          <w:b w:val="0"/>
          <w:i w:val="0"/>
          <w:caps w:val="0"/>
          <w:color w:val="444444"/>
          <w:spacing w:val="0"/>
          <w:sz w:val="24"/>
          <w:szCs w:val="24"/>
        </w:rPr>
      </w:pPr>
      <w:r>
        <w:rPr>
          <w:rFonts w:hint="default" w:ascii="Verdana" w:hAnsi="Verdana" w:cs="Verdana"/>
          <w:b w:val="0"/>
          <w:i w:val="0"/>
          <w:caps w:val="0"/>
          <w:color w:val="000000"/>
          <w:spacing w:val="0"/>
          <w:sz w:val="24"/>
          <w:szCs w:val="24"/>
          <w:shd w:val="clear" w:fill="FEFEFE"/>
        </w:rPr>
        <w:t>  由于整个液体循环是密闭的系统，所以低温时没有水汽的吸收，高温时没有油雾的产生。公司可以提供工作温度很广的导热油，所以同一台机器同一种导热介质可以实现-90℃-200℃的控温。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0"/>
        <w:rPr>
          <w:rFonts w:hint="default" w:ascii="Verdana" w:hAnsi="Verdana" w:cs="Verdana"/>
          <w:b w:val="0"/>
          <w:i w:val="0"/>
          <w:caps w:val="0"/>
          <w:color w:val="444444"/>
          <w:spacing w:val="0"/>
          <w:sz w:val="24"/>
          <w:szCs w:val="24"/>
        </w:rPr>
      </w:pPr>
      <w:r>
        <w:rPr>
          <w:rFonts w:hint="default" w:ascii="Verdana" w:hAnsi="Verdana" w:cs="Verdana"/>
          <w:b w:val="0"/>
          <w:i w:val="0"/>
          <w:caps w:val="0"/>
          <w:color w:val="000000"/>
          <w:spacing w:val="0"/>
          <w:sz w:val="24"/>
          <w:szCs w:val="24"/>
          <w:shd w:val="clear" w:fill="FEFEF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0"/>
        <w:rPr>
          <w:rFonts w:hint="default" w:ascii="Verdana" w:hAnsi="Verdana" w:cs="Verdana"/>
          <w:b w:val="0"/>
          <w:i w:val="0"/>
          <w:caps w:val="0"/>
          <w:color w:val="444444"/>
          <w:spacing w:val="0"/>
          <w:sz w:val="24"/>
          <w:szCs w:val="24"/>
        </w:rPr>
      </w:pPr>
      <w:r>
        <w:rPr>
          <w:rFonts w:hint="default" w:ascii="Verdana" w:hAnsi="Verdana" w:cs="Verdana"/>
          <w:b w:val="0"/>
          <w:i w:val="0"/>
          <w:caps w:val="0"/>
          <w:color w:val="000000"/>
          <w:spacing w:val="0"/>
          <w:sz w:val="24"/>
          <w:szCs w:val="24"/>
          <w:shd w:val="clear" w:fill="FEFEFE"/>
        </w:rPr>
        <w:t>  </w:t>
      </w:r>
      <w:r>
        <w:rPr>
          <w:rStyle w:val="9"/>
          <w:rFonts w:hint="default" w:ascii="Verdana" w:hAnsi="Verdana" w:cs="Verdana"/>
          <w:i w:val="0"/>
          <w:caps w:val="0"/>
          <w:color w:val="000000"/>
          <w:spacing w:val="0"/>
          <w:sz w:val="30"/>
          <w:szCs w:val="30"/>
          <w:shd w:val="clear" w:fill="FEFEFE"/>
        </w:rPr>
        <w:t>GDSZ-300L/-40℃高低温循环装置特点如下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0"/>
        <w:rPr>
          <w:rFonts w:hint="default" w:ascii="Verdana" w:hAnsi="Verdana" w:cs="Verdana"/>
          <w:b w:val="0"/>
          <w:i w:val="0"/>
          <w:caps w:val="0"/>
          <w:color w:val="444444"/>
          <w:spacing w:val="0"/>
          <w:sz w:val="24"/>
          <w:szCs w:val="24"/>
        </w:rPr>
      </w:pPr>
      <w:r>
        <w:rPr>
          <w:rFonts w:hint="default" w:ascii="Verdana" w:hAnsi="Verdana" w:cs="Verdana"/>
          <w:b w:val="0"/>
          <w:i w:val="0"/>
          <w:caps w:val="0"/>
          <w:color w:val="000000"/>
          <w:spacing w:val="0"/>
          <w:sz w:val="24"/>
          <w:szCs w:val="24"/>
          <w:shd w:val="clear" w:fill="FEFEF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0"/>
        <w:rPr>
          <w:rFonts w:hint="default" w:ascii="Verdana" w:hAnsi="Verdana" w:cs="Verdana"/>
          <w:b w:val="0"/>
          <w:i w:val="0"/>
          <w:caps w:val="0"/>
          <w:color w:val="444444"/>
          <w:spacing w:val="0"/>
          <w:sz w:val="24"/>
          <w:szCs w:val="24"/>
        </w:rPr>
      </w:pPr>
      <w:r>
        <w:rPr>
          <w:rFonts w:hint="default" w:ascii="Verdana" w:hAnsi="Verdana" w:cs="Verdana"/>
          <w:b w:val="0"/>
          <w:i w:val="0"/>
          <w:caps w:val="0"/>
          <w:color w:val="000000"/>
          <w:spacing w:val="0"/>
          <w:sz w:val="24"/>
          <w:szCs w:val="24"/>
          <w:shd w:val="clear" w:fill="FEFEFE"/>
        </w:rPr>
        <w:t>● 没有内循环的槽，内循环的体积小（大部分设备内循环的体积只有6-10L），有效功率密度大（W/L），升温和降温的速率很快，导热油的需求量也比较小。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0"/>
        <w:rPr>
          <w:rFonts w:hint="default" w:ascii="Verdana" w:hAnsi="Verdana" w:cs="Verdana"/>
          <w:b w:val="0"/>
          <w:i w:val="0"/>
          <w:caps w:val="0"/>
          <w:color w:val="444444"/>
          <w:spacing w:val="0"/>
          <w:sz w:val="24"/>
          <w:szCs w:val="24"/>
        </w:rPr>
      </w:pPr>
      <w:r>
        <w:rPr>
          <w:rFonts w:hint="default" w:ascii="Verdana" w:hAnsi="Verdana" w:cs="Verdana"/>
          <w:b w:val="0"/>
          <w:i w:val="0"/>
          <w:caps w:val="0"/>
          <w:color w:val="000000"/>
          <w:spacing w:val="0"/>
          <w:sz w:val="24"/>
          <w:szCs w:val="24"/>
          <w:shd w:val="clear" w:fill="FEFEFE"/>
        </w:rPr>
        <w:t>● 设备采用波浪形板式换热器，热交换面积大，热交换速度快。</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0"/>
        <w:rPr>
          <w:rFonts w:hint="default" w:ascii="Verdana" w:hAnsi="Verdana" w:cs="Verdana"/>
          <w:b w:val="0"/>
          <w:i w:val="0"/>
          <w:caps w:val="0"/>
          <w:color w:val="444444"/>
          <w:spacing w:val="0"/>
          <w:sz w:val="24"/>
          <w:szCs w:val="24"/>
        </w:rPr>
      </w:pPr>
      <w:r>
        <w:rPr>
          <w:rFonts w:hint="default" w:ascii="Verdana" w:hAnsi="Verdana" w:cs="Verdana"/>
          <w:b w:val="0"/>
          <w:i w:val="0"/>
          <w:caps w:val="0"/>
          <w:color w:val="000000"/>
          <w:spacing w:val="0"/>
          <w:sz w:val="24"/>
          <w:szCs w:val="24"/>
          <w:shd w:val="clear" w:fill="FEFEFE"/>
        </w:rPr>
        <w:t>● 密闭的整个液体循环：高温时没有油雾的挥发，导热油不会被氧化或褐化；低温时不会吸收空气中的水汽，延长了导热油寿命，使用成本低。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0"/>
        <w:rPr>
          <w:rFonts w:hint="default" w:ascii="Verdana" w:hAnsi="Verdana" w:cs="Verdana"/>
          <w:b w:val="0"/>
          <w:i w:val="0"/>
          <w:caps w:val="0"/>
          <w:color w:val="444444"/>
          <w:spacing w:val="0"/>
          <w:sz w:val="24"/>
          <w:szCs w:val="24"/>
        </w:rPr>
      </w:pPr>
      <w:r>
        <w:rPr>
          <w:rFonts w:hint="default" w:ascii="Verdana" w:hAnsi="Verdana" w:cs="Verdana"/>
          <w:b w:val="0"/>
          <w:i w:val="0"/>
          <w:caps w:val="0"/>
          <w:color w:val="000000"/>
          <w:spacing w:val="0"/>
          <w:sz w:val="24"/>
          <w:szCs w:val="24"/>
          <w:shd w:val="clear" w:fill="FEFEFE"/>
        </w:rPr>
        <w:t>● 精确控制化学反应的温度，是安全控制放热反应的第一选择。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0"/>
        <w:rPr>
          <w:rFonts w:hint="default" w:ascii="Verdana" w:hAnsi="Verdana" w:cs="Verdana"/>
          <w:b w:val="0"/>
          <w:i w:val="0"/>
          <w:caps w:val="0"/>
          <w:color w:val="444444"/>
          <w:spacing w:val="0"/>
          <w:sz w:val="24"/>
          <w:szCs w:val="24"/>
        </w:rPr>
      </w:pPr>
      <w:r>
        <w:rPr>
          <w:rFonts w:hint="default" w:ascii="Verdana" w:hAnsi="Verdana" w:cs="Verdana"/>
          <w:b w:val="0"/>
          <w:i w:val="0"/>
          <w:caps w:val="0"/>
          <w:color w:val="000000"/>
          <w:spacing w:val="0"/>
          <w:sz w:val="24"/>
          <w:szCs w:val="24"/>
          <w:shd w:val="clear" w:fill="FEFEFE"/>
        </w:rPr>
        <w:t>● 设备采用PID智能控制，根据化学过程工艺自动调节功率的输出，精确控制反应过程的温度，满足反应工艺对温度变化的要求。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0"/>
        <w:rPr>
          <w:rFonts w:hint="default" w:ascii="Verdana" w:hAnsi="Verdana" w:cs="Verdana"/>
          <w:b w:val="0"/>
          <w:i w:val="0"/>
          <w:caps w:val="0"/>
          <w:color w:val="444444"/>
          <w:spacing w:val="0"/>
          <w:sz w:val="24"/>
          <w:szCs w:val="24"/>
        </w:rPr>
      </w:pPr>
      <w:r>
        <w:rPr>
          <w:rFonts w:hint="default" w:ascii="Verdana" w:hAnsi="Verdana" w:cs="Verdana"/>
          <w:b w:val="0"/>
          <w:i w:val="0"/>
          <w:caps w:val="0"/>
          <w:color w:val="000000"/>
          <w:spacing w:val="0"/>
          <w:sz w:val="24"/>
          <w:szCs w:val="24"/>
          <w:shd w:val="clear" w:fill="FEFEFE"/>
        </w:rPr>
        <w:t>● 特殊定制的循环泵，可以提供最大的流速，产生最小的压力和热量，达到最高的热交换效率，最小的系统阻力，最小的泵系统热量，最小的系统能耗。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0"/>
        <w:rPr>
          <w:rFonts w:hint="default" w:ascii="Verdana" w:hAnsi="Verdana" w:cs="Verdana"/>
          <w:b w:val="0"/>
          <w:i w:val="0"/>
          <w:caps w:val="0"/>
          <w:color w:val="444444"/>
          <w:spacing w:val="0"/>
          <w:sz w:val="24"/>
          <w:szCs w:val="24"/>
        </w:rPr>
      </w:pPr>
      <w:r>
        <w:rPr>
          <w:rFonts w:hint="default" w:ascii="Verdana" w:hAnsi="Verdana" w:cs="Verdana"/>
          <w:b w:val="0"/>
          <w:i w:val="0"/>
          <w:caps w:val="0"/>
          <w:color w:val="000000"/>
          <w:spacing w:val="0"/>
          <w:sz w:val="24"/>
          <w:szCs w:val="24"/>
          <w:shd w:val="clear" w:fill="FEFEFE"/>
        </w:rPr>
        <w:t>● 标准型采用PLC控制，更人性化的显示界面（人机界面），操作简单，可以显示工作过程的的设定温度、出口温度、釜体内的温度变化的曲线，实现程序的升降温度段编程。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0"/>
        <w:rPr>
          <w:rFonts w:hint="default" w:ascii="Verdana" w:hAnsi="Verdana" w:cs="Verdana"/>
          <w:b w:val="0"/>
          <w:i w:val="0"/>
          <w:caps w:val="0"/>
          <w:color w:val="444444"/>
          <w:spacing w:val="0"/>
          <w:sz w:val="24"/>
          <w:szCs w:val="24"/>
        </w:rPr>
      </w:pPr>
      <w:r>
        <w:rPr>
          <w:rFonts w:hint="default" w:ascii="Verdana" w:hAnsi="Verdana" w:cs="Verdana"/>
          <w:b w:val="0"/>
          <w:i w:val="0"/>
          <w:caps w:val="0"/>
          <w:color w:val="000000"/>
          <w:spacing w:val="0"/>
          <w:sz w:val="24"/>
          <w:szCs w:val="24"/>
          <w:shd w:val="clear" w:fill="FEFEFE"/>
        </w:rPr>
        <w:t>● 标准型可以根据反应釜厂家提供的安全要求，设定釜体和夹层内的最大温度差，如果内外的温差达到厂家要求的安全极限值设备会自动停止工作并报警提示，保证反应釜不会因为温差过大而破裂。</w:t>
      </w:r>
    </w:p>
    <w:p>
      <w:pPr>
        <w:tabs>
          <w:tab w:val="left" w:pos="6560"/>
        </w:tabs>
        <w:spacing w:line="0" w:lineRule="atLeast"/>
        <w:rPr>
          <w:rFonts w:hint="eastAsia" w:ascii="宋体" w:hAnsi="宋体" w:eastAsia="宋体"/>
          <w:sz w:val="18"/>
          <w:lang w:val="en-US" w:eastAsia="zh-CN"/>
        </w:rPr>
      </w:pPr>
      <w:r>
        <w:drawing>
          <wp:inline distT="0" distB="0" distL="114300" distR="114300">
            <wp:extent cx="5271770" cy="4930775"/>
            <wp:effectExtent l="0" t="0" r="508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271770" cy="4930775"/>
                    </a:xfrm>
                    <a:prstGeom prst="rect">
                      <a:avLst/>
                    </a:prstGeom>
                    <a:noFill/>
                    <a:ln w="9525">
                      <a:noFill/>
                    </a:ln>
                  </pic:spPr>
                </pic:pic>
              </a:graphicData>
            </a:graphic>
          </wp:inline>
        </w:drawing>
      </w:r>
    </w:p>
    <w:sectPr>
      <w:type w:val="continuous"/>
      <w:pgSz w:w="11900" w:h="16838"/>
      <w:pgMar w:top="872" w:right="1240" w:bottom="500" w:left="1520" w:header="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val="0"/>
  <w:bordersDoNotSurroundFooter w:val="0"/>
  <w:attachedTemplate r:id="rId1"/>
  <w:documentProtection w:enforcement="0"/>
  <w:defaultTabStop w:val="720"/>
  <w:hyphenationZone w:val="36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78"/>
    <w:rsid w:val="000B5190"/>
    <w:rsid w:val="00B02778"/>
    <w:rsid w:val="014C3AF4"/>
    <w:rsid w:val="01D02953"/>
    <w:rsid w:val="02C84D56"/>
    <w:rsid w:val="02CC7E50"/>
    <w:rsid w:val="02FC327E"/>
    <w:rsid w:val="04284D14"/>
    <w:rsid w:val="04396F3B"/>
    <w:rsid w:val="04A8432A"/>
    <w:rsid w:val="05A36D43"/>
    <w:rsid w:val="06007336"/>
    <w:rsid w:val="07A170BC"/>
    <w:rsid w:val="07DB40CC"/>
    <w:rsid w:val="07FF7233"/>
    <w:rsid w:val="08510CE9"/>
    <w:rsid w:val="085C0A6C"/>
    <w:rsid w:val="08AA4929"/>
    <w:rsid w:val="09BF2356"/>
    <w:rsid w:val="09C82DA2"/>
    <w:rsid w:val="0A5A0EFE"/>
    <w:rsid w:val="0AD752B3"/>
    <w:rsid w:val="0DF509B3"/>
    <w:rsid w:val="0E147E7D"/>
    <w:rsid w:val="0F181242"/>
    <w:rsid w:val="0F6A4BA8"/>
    <w:rsid w:val="0FE31FEE"/>
    <w:rsid w:val="11345157"/>
    <w:rsid w:val="11D05DCC"/>
    <w:rsid w:val="11D76EEC"/>
    <w:rsid w:val="127877AC"/>
    <w:rsid w:val="135822E2"/>
    <w:rsid w:val="136850B3"/>
    <w:rsid w:val="147F067B"/>
    <w:rsid w:val="1572276F"/>
    <w:rsid w:val="15E25BAE"/>
    <w:rsid w:val="16B14A8F"/>
    <w:rsid w:val="17CA14F8"/>
    <w:rsid w:val="18B61885"/>
    <w:rsid w:val="18B6579B"/>
    <w:rsid w:val="18CA3339"/>
    <w:rsid w:val="1A0D2627"/>
    <w:rsid w:val="1A264DEA"/>
    <w:rsid w:val="1A666F21"/>
    <w:rsid w:val="1AED6233"/>
    <w:rsid w:val="1B7E6E7E"/>
    <w:rsid w:val="1C1E77E9"/>
    <w:rsid w:val="1D203A09"/>
    <w:rsid w:val="1E0928E4"/>
    <w:rsid w:val="1E332502"/>
    <w:rsid w:val="1E7E0154"/>
    <w:rsid w:val="1EB262C8"/>
    <w:rsid w:val="20582949"/>
    <w:rsid w:val="208A66F9"/>
    <w:rsid w:val="20B7256A"/>
    <w:rsid w:val="211C5C70"/>
    <w:rsid w:val="219727CF"/>
    <w:rsid w:val="21EF4AF6"/>
    <w:rsid w:val="22197613"/>
    <w:rsid w:val="22482A98"/>
    <w:rsid w:val="23812FC7"/>
    <w:rsid w:val="2434444E"/>
    <w:rsid w:val="25E66EA4"/>
    <w:rsid w:val="26623AF7"/>
    <w:rsid w:val="272A7A8A"/>
    <w:rsid w:val="27652DF1"/>
    <w:rsid w:val="28135E3C"/>
    <w:rsid w:val="29AF663B"/>
    <w:rsid w:val="2B002C4D"/>
    <w:rsid w:val="2D433D3E"/>
    <w:rsid w:val="2DF23CEE"/>
    <w:rsid w:val="2E2753E3"/>
    <w:rsid w:val="2FD82856"/>
    <w:rsid w:val="31305791"/>
    <w:rsid w:val="31E01D5F"/>
    <w:rsid w:val="33161D68"/>
    <w:rsid w:val="344500DE"/>
    <w:rsid w:val="344838A5"/>
    <w:rsid w:val="36092762"/>
    <w:rsid w:val="373F46C3"/>
    <w:rsid w:val="37AA5840"/>
    <w:rsid w:val="383A39D8"/>
    <w:rsid w:val="396B319D"/>
    <w:rsid w:val="3B466CE4"/>
    <w:rsid w:val="3BEC066B"/>
    <w:rsid w:val="3C340EA5"/>
    <w:rsid w:val="3D103A3F"/>
    <w:rsid w:val="3D307765"/>
    <w:rsid w:val="3D80598A"/>
    <w:rsid w:val="3D884A29"/>
    <w:rsid w:val="3F7D4705"/>
    <w:rsid w:val="3F8A0726"/>
    <w:rsid w:val="3FFF6EC7"/>
    <w:rsid w:val="40A84994"/>
    <w:rsid w:val="40EA09A8"/>
    <w:rsid w:val="439E3CF3"/>
    <w:rsid w:val="43F06C30"/>
    <w:rsid w:val="43FD4EE3"/>
    <w:rsid w:val="443D7E07"/>
    <w:rsid w:val="444B0D02"/>
    <w:rsid w:val="45FA6C0A"/>
    <w:rsid w:val="475426CD"/>
    <w:rsid w:val="4A070D97"/>
    <w:rsid w:val="4A371A84"/>
    <w:rsid w:val="4A51451A"/>
    <w:rsid w:val="4B2F2058"/>
    <w:rsid w:val="4B792F35"/>
    <w:rsid w:val="4B9F4A60"/>
    <w:rsid w:val="4DC571A1"/>
    <w:rsid w:val="4E407C5C"/>
    <w:rsid w:val="4F790F26"/>
    <w:rsid w:val="4F975B21"/>
    <w:rsid w:val="4FDC1B95"/>
    <w:rsid w:val="500F4B1A"/>
    <w:rsid w:val="52D54CF6"/>
    <w:rsid w:val="54A11DCD"/>
    <w:rsid w:val="54A63083"/>
    <w:rsid w:val="559C2E84"/>
    <w:rsid w:val="58136CBC"/>
    <w:rsid w:val="587869DC"/>
    <w:rsid w:val="58B2326E"/>
    <w:rsid w:val="593E2093"/>
    <w:rsid w:val="5A0D170D"/>
    <w:rsid w:val="5A1920CA"/>
    <w:rsid w:val="5B285F8A"/>
    <w:rsid w:val="5B397797"/>
    <w:rsid w:val="5BA21367"/>
    <w:rsid w:val="5C0B3EDC"/>
    <w:rsid w:val="5C7C0F9E"/>
    <w:rsid w:val="5E005642"/>
    <w:rsid w:val="5EB3346C"/>
    <w:rsid w:val="5FC41AAB"/>
    <w:rsid w:val="5FDD5045"/>
    <w:rsid w:val="61F173E7"/>
    <w:rsid w:val="623E1074"/>
    <w:rsid w:val="62FE037E"/>
    <w:rsid w:val="63094A81"/>
    <w:rsid w:val="64A83164"/>
    <w:rsid w:val="64EE690C"/>
    <w:rsid w:val="654A17E9"/>
    <w:rsid w:val="65810D71"/>
    <w:rsid w:val="66107A65"/>
    <w:rsid w:val="66403A79"/>
    <w:rsid w:val="67316339"/>
    <w:rsid w:val="67B84D48"/>
    <w:rsid w:val="69705E7E"/>
    <w:rsid w:val="69D35570"/>
    <w:rsid w:val="6ACC5E07"/>
    <w:rsid w:val="6CFA358F"/>
    <w:rsid w:val="6D0241D9"/>
    <w:rsid w:val="6D680D7E"/>
    <w:rsid w:val="6D9E073E"/>
    <w:rsid w:val="6DCF5485"/>
    <w:rsid w:val="6F9D51FA"/>
    <w:rsid w:val="70EC6FCB"/>
    <w:rsid w:val="717A0F44"/>
    <w:rsid w:val="737F6ECA"/>
    <w:rsid w:val="74ED1601"/>
    <w:rsid w:val="75B93E69"/>
    <w:rsid w:val="762410A3"/>
    <w:rsid w:val="764A4AC2"/>
    <w:rsid w:val="76561D6C"/>
    <w:rsid w:val="76F1583B"/>
    <w:rsid w:val="77357953"/>
    <w:rsid w:val="7745452C"/>
    <w:rsid w:val="77C2317F"/>
    <w:rsid w:val="78587D99"/>
    <w:rsid w:val="7A1A53CF"/>
    <w:rsid w:val="7A751A44"/>
    <w:rsid w:val="7ABD4BBF"/>
    <w:rsid w:val="7C282BCB"/>
    <w:rsid w:val="7CC30FFA"/>
    <w:rsid w:val="7DCA176E"/>
    <w:rsid w:val="7E785F59"/>
    <w:rsid w:val="7E8A7101"/>
    <w:rsid w:val="7EA24EBA"/>
    <w:rsid w:val="7F432FB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Calibri" w:cs="Arial"/>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8">
    <w:name w:val="Default Paragraph Font"/>
    <w:unhideWhenUsed/>
    <w:qFormat/>
    <w:uiPriority w:val="1"/>
  </w:style>
  <w:style w:type="table" w:default="1" w:styleId="6">
    <w:name w:val="Normal Table"/>
    <w:unhideWhenUsed/>
    <w:qFormat/>
    <w:uiPriority w:val="99"/>
    <w:tblPr>
      <w:tblLayout w:type="fixed"/>
    </w:tblPr>
  </w:style>
  <w:style w:type="paragraph" w:styleId="3">
    <w:name w:val="Balloon Text"/>
    <w:basedOn w:val="1"/>
    <w:link w:val="11"/>
    <w:qFormat/>
    <w:uiPriority w:val="0"/>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Strong"/>
    <w:basedOn w:val="8"/>
    <w:qFormat/>
    <w:uiPriority w:val="0"/>
    <w:rPr>
      <w:b/>
    </w:rPr>
  </w:style>
  <w:style w:type="paragraph" w:customStyle="1" w:styleId="10">
    <w:name w:val="_Style 2"/>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1">
    <w:name w:val="批注框文本 Char"/>
    <w:basedOn w:val="8"/>
    <w:link w:val="3"/>
    <w:semiHidden/>
    <w:qFormat/>
    <w:uiPriority w:val="99"/>
    <w:rPr>
      <w:sz w:val="18"/>
      <w:szCs w:val="18"/>
    </w:rPr>
  </w:style>
  <w:style w:type="character" w:customStyle="1" w:styleId="12">
    <w:name w:val="style2"/>
    <w:basedOn w:val="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download\dc8bf2a83d2b6f31d1dd60d75be1c40ad2aec94c\&#29992;&#25143;&#25152;&#38656;&#20135;&#21697;&#25253;&#20215;&#21333;.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用户所需产品报价单.doc</Template>
  <Pages>5</Pages>
  <Words>870</Words>
  <Characters>1439</Characters>
  <TotalTime>0</TotalTime>
  <ScaleCrop>false</ScaleCrop>
  <LinksUpToDate>false</LinksUpToDate>
  <CharactersWithSpaces>1505</CharactersWithSpaces>
  <Application>WPS Office_11.1.0.8806_F1E327BC-269C-435d-A152-05C5408002CA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2018-01-13T08:59:00Z</dcterms:created>
  <dc:creator>予华仪器@刘辉</dc:creator>
  <cp:lastModifiedBy>予华仪器@刘辉</cp:lastModifiedBy>
  <dcterms:modified xsi:type="dcterms:W3CDTF">2019-06-25T09:09:16Z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