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40" w:type="dxa"/>
        <w:tblInd w:w="0" w:type="dxa"/>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4"/>
        <w:gridCol w:w="6996"/>
      </w:tblGrid>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trPr>
        <w:tc>
          <w:tcPr>
            <w:tcW w:w="3444" w:type="dxa"/>
            <w:vMerge w:val="restart"/>
            <w:noWrap w:val="0"/>
            <w:vAlign w:val="top"/>
          </w:tcPr>
          <w:p>
            <w:pPr>
              <w:widowControl/>
              <w:jc w:val="center"/>
              <w:rPr>
                <w:rFonts w:hint="eastAsia" w:ascii="宋体" w:hAnsi="宋体" w:cs="宋体"/>
                <w:kern w:val="0"/>
                <w:sz w:val="24"/>
                <w:szCs w:val="24"/>
              </w:rPr>
            </w:pPr>
            <w:r>
              <w:drawing>
                <wp:inline distT="0" distB="0" distL="114300" distR="114300">
                  <wp:extent cx="2132965" cy="566420"/>
                  <wp:effectExtent l="0" t="0" r="63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132965" cy="566420"/>
                          </a:xfrm>
                          <a:prstGeom prst="rect">
                            <a:avLst/>
                          </a:prstGeom>
                          <a:noFill/>
                          <a:ln>
                            <a:noFill/>
                          </a:ln>
                        </pic:spPr>
                      </pic:pic>
                    </a:graphicData>
                  </a:graphic>
                </wp:inline>
              </w:drawing>
            </w:r>
            <w:r>
              <w:rPr>
                <w:sz w:val="24"/>
              </w:rPr>
              <mc:AlternateContent>
                <mc:Choice Requires="wps">
                  <w:drawing>
                    <wp:anchor distT="0" distB="0" distL="114300" distR="114300" simplePos="0" relativeHeight="251660288" behindDoc="0" locked="0" layoutInCell="1" allowOverlap="1">
                      <wp:simplePos x="0" y="0"/>
                      <wp:positionH relativeFrom="margin">
                        <wp:posOffset>967105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76.15pt;margin-top:0pt;height:144pt;width:144pt;mso-position-horizontal-relative:margin;mso-wrap-style:none;z-index:251660288;mso-width-relative:page;mso-height-relative:page;" filled="f" stroked="f" coordsize="21600,21600" o:gfxdata="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8hL9P0wAAAAgB&#10;AAAPAAAAAAAAAAEAIAAAACIAAABkcnMvZG93bnJldi54bWxQSwECFAAUAAAACACHTuJAEaqKiq4B&#10;AABLAwAADgAAAAAAAAABACAAAAAiAQAAZHJzL2Uyb0RvYy54bWxQSwUGAAAAAAYABgBZAQAAQgUA&#10;AAAA&#1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tc>
        <w:tc>
          <w:tcPr>
            <w:tcW w:w="6996" w:type="dxa"/>
            <w:noWrap w:val="0"/>
            <w:vAlign w:val="top"/>
          </w:tcPr>
          <w:p>
            <w:pPr>
              <w:rPr>
                <w:rStyle w:val="8"/>
              </w:rPr>
            </w:pPr>
            <w:r>
              <w:rPr>
                <w:rFonts w:hint="eastAsia" w:ascii="黑体" w:hAnsi="宋体" w:eastAsia="黑体"/>
                <w:sz w:val="28"/>
              </w:rPr>
              <w:t>——</w:t>
            </w:r>
            <w:r>
              <w:rPr>
                <w:rStyle w:val="8"/>
              </w:rPr>
              <w:t>巩义市予华仪器有限公司是唯一一家在工商总局注册</w:t>
            </w:r>
          </w:p>
          <w:p>
            <w:pPr>
              <w:rPr>
                <w:rFonts w:hint="eastAsia" w:ascii="黑体" w:hAnsi="宋体" w:eastAsia="黑体"/>
                <w:i/>
                <w:sz w:val="28"/>
              </w:rPr>
            </w:pPr>
            <w:r>
              <w:rPr>
                <w:rStyle w:val="8"/>
              </w:rPr>
              <w:t>“予华仪器”品牌的企业</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trPr>
        <w:tc>
          <w:tcPr>
            <w:tcW w:w="3444" w:type="dxa"/>
            <w:vMerge w:val="continue"/>
            <w:noWrap w:val="0"/>
            <w:vAlign w:val="top"/>
          </w:tcPr>
          <w:p>
            <w:pPr>
              <w:rPr>
                <w:rFonts w:hint="eastAsia" w:ascii="宋体" w:hAnsi="宋体"/>
                <w:i/>
                <w:sz w:val="24"/>
              </w:rPr>
            </w:pPr>
          </w:p>
        </w:tc>
        <w:tc>
          <w:tcPr>
            <w:tcW w:w="6996" w:type="dxa"/>
            <w:noWrap w:val="0"/>
            <w:vAlign w:val="center"/>
          </w:tcPr>
          <w:p>
            <w:pPr>
              <w:wordWrap w:val="0"/>
              <w:ind w:right="420" w:firstLine="1446" w:firstLineChars="450"/>
              <w:rPr>
                <w:rFonts w:hint="eastAsia" w:ascii="黑体" w:hAnsi="宋体" w:eastAsia="黑体"/>
                <w:b/>
                <w:i/>
                <w:sz w:val="32"/>
                <w:szCs w:val="32"/>
              </w:rPr>
            </w:pPr>
            <w:r>
              <w:rPr>
                <w:rStyle w:val="8"/>
                <w:b/>
                <w:sz w:val="32"/>
                <w:szCs w:val="32"/>
              </w:rPr>
              <w:t>巩义市予华仪器有限</w:t>
            </w:r>
            <w:r>
              <w:rPr>
                <w:rStyle w:val="8"/>
                <w:rFonts w:hint="eastAsia"/>
                <w:b/>
                <w:sz w:val="32"/>
                <w:szCs w:val="32"/>
              </w:rPr>
              <w:t>责任</w:t>
            </w:r>
            <w:r>
              <w:rPr>
                <w:rStyle w:val="8"/>
                <w:b/>
                <w:sz w:val="32"/>
                <w:szCs w:val="32"/>
              </w:rPr>
              <w:t>公司</w:t>
            </w:r>
          </w:p>
        </w:tc>
      </w:tr>
      <w:tr>
        <w:tblPrEx>
          <w:tblBorders>
            <w:top w:val="none" w:color="auto" w:sz="0"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3444" w:type="dxa"/>
            <w:noWrap w:val="0"/>
            <w:vAlign w:val="top"/>
          </w:tcPr>
          <w:p>
            <w:pPr>
              <w:rPr>
                <w:rFonts w:ascii="Arial" w:hAnsi="Arial" w:eastAsia="黑体"/>
                <w:i/>
              </w:rPr>
            </w:pPr>
          </w:p>
        </w:tc>
        <w:tc>
          <w:tcPr>
            <w:tcW w:w="6996" w:type="dxa"/>
            <w:noWrap w:val="0"/>
            <w:vAlign w:val="top"/>
          </w:tcPr>
          <w:p>
            <w:pPr>
              <w:rPr>
                <w:rFonts w:hint="eastAsia" w:ascii="黑体" w:hAnsi="宋体" w:eastAsia="黑体"/>
                <w:i/>
              </w:rPr>
            </w:pPr>
            <w:r>
              <w:rPr>
                <w:rFonts w:hint="eastAsia" w:ascii="黑体" w:hAnsi="宋体" w:eastAsia="黑体"/>
                <w:color w:val="000000"/>
              </w:rPr>
              <w:t>地址:</w:t>
            </w:r>
            <w:r>
              <w:rPr>
                <w:rFonts w:hint="eastAsia" w:ascii="黑体" w:hAnsi="宋体" w:eastAsia="黑体"/>
                <w:color w:val="000000"/>
                <w:lang w:eastAsia="zh-CN"/>
              </w:rPr>
              <w:t>河南省巩义市英峪工业区</w:t>
            </w:r>
          </w:p>
        </w:tc>
      </w:tr>
    </w:tbl>
    <w:p>
      <w:pPr>
        <w:pStyle w:val="3"/>
        <w:rPr>
          <w:rFonts w:hint="eastAsia" w:eastAsia="黑体"/>
          <w:b/>
          <w:w w:val="150"/>
          <w:sz w:val="24"/>
          <w:lang w:eastAsia="zh-CN"/>
        </w:rPr>
      </w:pPr>
      <w:r>
        <w:rPr>
          <w:rFonts w:hint="eastAsia" w:eastAsia="黑体"/>
          <w:b/>
          <w:w w:val="150"/>
          <w:sz w:val="24"/>
          <w:lang w:eastAsia="zh-CN"/>
        </w:rPr>
        <w:t>产品技术参数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4" w:beforeAutospacing="0" w:after="174" w:afterAutospacing="0" w:line="375" w:lineRule="atLeast"/>
        <w:ind w:right="0" w:firstLine="2161" w:firstLineChars="600"/>
        <w:jc w:val="both"/>
        <w:rPr>
          <w:rStyle w:val="7"/>
          <w:rFonts w:hint="eastAsia" w:ascii="微软雅黑" w:hAnsi="微软雅黑" w:eastAsia="微软雅黑" w:cs="微软雅黑"/>
          <w:b/>
          <w:i w:val="0"/>
          <w:caps w:val="0"/>
          <w:color w:val="000000"/>
          <w:spacing w:val="0"/>
          <w:sz w:val="24"/>
          <w:szCs w:val="24"/>
          <w:shd w:val="clear" w:fill="FFFFFF"/>
          <w:lang w:val="en-US" w:eastAsia="zh-CN"/>
        </w:rPr>
      </w:pPr>
      <w:r>
        <w:rPr>
          <w:rStyle w:val="7"/>
          <w:rFonts w:hint="eastAsia" w:ascii="微软雅黑" w:hAnsi="微软雅黑" w:eastAsia="微软雅黑" w:cs="微软雅黑"/>
          <w:b/>
          <w:i w:val="0"/>
          <w:caps w:val="0"/>
          <w:color w:val="000000"/>
          <w:spacing w:val="0"/>
          <w:sz w:val="36"/>
          <w:szCs w:val="36"/>
          <w:shd w:val="clear" w:fill="FFFFFF"/>
          <w:lang w:val="en-US" w:eastAsia="zh-CN"/>
        </w:rPr>
        <w:t>ZYSF-10L系列升降反应釜</w:t>
      </w:r>
    </w:p>
    <w:p>
      <w:pPr>
        <w:rPr>
          <w:rFonts w:hint="eastAsia"/>
          <w:lang w:val="en-US" w:eastAsia="zh-CN"/>
        </w:rPr>
      </w:pPr>
      <w:r>
        <w:rPr>
          <w:rFonts w:hint="eastAsia"/>
          <w:lang w:val="en-US" w:eastAsia="zh-CN"/>
        </w:rPr>
        <w:t xml:space="preserve">                </w:t>
      </w:r>
      <w:r>
        <w:drawing>
          <wp:inline distT="0" distB="0" distL="114300" distR="114300">
            <wp:extent cx="2929255" cy="3437255"/>
            <wp:effectExtent l="0" t="0" r="4445"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2929255" cy="3437255"/>
                    </a:xfrm>
                    <a:prstGeom prst="rect">
                      <a:avLst/>
                    </a:prstGeom>
                    <a:noFill/>
                    <a:ln w="9525">
                      <a:noFill/>
                    </a:ln>
                  </pic:spPr>
                </pic:pic>
              </a:graphicData>
            </a:graphic>
          </wp:inline>
        </w:drawing>
      </w:r>
      <w:bookmarkStart w:id="0" w:name="_GoBack"/>
      <w:bookmarkEnd w:id="0"/>
    </w:p>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3642995" cy="3715385"/>
            <wp:effectExtent l="0" t="0" r="1460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642995" cy="3715385"/>
                    </a:xfrm>
                    <a:prstGeom prst="rect">
                      <a:avLst/>
                    </a:prstGeom>
                    <a:noFill/>
                    <a:ln w="9525">
                      <a:noFill/>
                    </a:ln>
                  </pic:spPr>
                </pic:pic>
              </a:graphicData>
            </a:graphic>
          </wp:inline>
        </w:drawing>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4" w:beforeAutospacing="0" w:after="174" w:afterAutospacing="0" w:line="375" w:lineRule="atLeast"/>
        <w:ind w:left="0" w:right="0" w:firstLine="0"/>
        <w:rPr>
          <w:rFonts w:ascii="微软雅黑" w:hAnsi="微软雅黑" w:eastAsia="微软雅黑" w:cs="微软雅黑"/>
          <w:b/>
          <w:i w:val="0"/>
          <w:caps w:val="0"/>
          <w:color w:val="000000"/>
          <w:spacing w:val="0"/>
          <w:sz w:val="18"/>
          <w:szCs w:val="18"/>
        </w:rPr>
      </w:pPr>
      <w:r>
        <w:rPr>
          <w:rStyle w:val="7"/>
          <w:rFonts w:hint="eastAsia" w:ascii="微软雅黑" w:hAnsi="微软雅黑" w:eastAsia="微软雅黑" w:cs="微软雅黑"/>
          <w:b/>
          <w:i w:val="0"/>
          <w:caps w:val="0"/>
          <w:color w:val="000000"/>
          <w:spacing w:val="0"/>
          <w:sz w:val="24"/>
          <w:szCs w:val="24"/>
          <w:shd w:val="clear" w:fill="FFFFFF"/>
        </w:rPr>
        <w:t>一、</w:t>
      </w:r>
      <w:r>
        <w:rPr>
          <w:rStyle w:val="7"/>
          <w:rFonts w:hint="eastAsia" w:ascii="微软雅黑" w:hAnsi="微软雅黑" w:eastAsia="微软雅黑" w:cs="微软雅黑"/>
          <w:b/>
          <w:i w:val="0"/>
          <w:caps w:val="0"/>
          <w:color w:val="000000"/>
          <w:spacing w:val="0"/>
          <w:sz w:val="28"/>
          <w:szCs w:val="28"/>
          <w:shd w:val="clear" w:fill="FFFFFF"/>
          <w:lang w:val="en-US" w:eastAsia="zh-CN"/>
        </w:rPr>
        <w:t>ZYSF</w:t>
      </w:r>
      <w:r>
        <w:rPr>
          <w:rStyle w:val="7"/>
          <w:rFonts w:hint="eastAsia" w:ascii="微软雅黑" w:hAnsi="微软雅黑" w:eastAsia="微软雅黑" w:cs="微软雅黑"/>
          <w:b/>
          <w:i w:val="0"/>
          <w:caps w:val="0"/>
          <w:color w:val="000000"/>
          <w:spacing w:val="0"/>
          <w:sz w:val="24"/>
          <w:szCs w:val="24"/>
          <w:shd w:val="clear" w:fill="FFFFFF"/>
        </w:rPr>
        <w:t>系列</w:t>
      </w:r>
      <w:r>
        <w:rPr>
          <w:rStyle w:val="7"/>
          <w:rFonts w:hint="eastAsia" w:ascii="微软雅黑" w:hAnsi="微软雅黑" w:eastAsia="微软雅黑" w:cs="微软雅黑"/>
          <w:b/>
          <w:i w:val="0"/>
          <w:caps w:val="0"/>
          <w:color w:val="FF0000"/>
          <w:spacing w:val="0"/>
          <w:sz w:val="24"/>
          <w:szCs w:val="24"/>
          <w:shd w:val="clear" w:fill="FFFFFF"/>
        </w:rPr>
        <w:t>可旋转可升降双层玻璃反应釜</w:t>
      </w:r>
      <w:r>
        <w:rPr>
          <w:rStyle w:val="7"/>
          <w:rFonts w:hint="eastAsia" w:ascii="微软雅黑" w:hAnsi="微软雅黑" w:eastAsia="微软雅黑" w:cs="微软雅黑"/>
          <w:b/>
          <w:i w:val="0"/>
          <w:caps w:val="0"/>
          <w:color w:val="000000"/>
          <w:spacing w:val="0"/>
          <w:sz w:val="24"/>
          <w:szCs w:val="24"/>
          <w:shd w:val="clear" w:fill="FFFFFF"/>
        </w:rPr>
        <w:t>的特点：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1：釜体可手动升降，便于投料和块状晶体取出，可以0~120°旋转，便于清洗。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2：全新设计，运行时机身更稳定。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3：采用法兰连接的密封方式，无真空脂密封，密封性更好，真空度更高。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4：无死角底放料设计，使釜体内药物充分混合反应，便于清洗，防止药物间交叉污染。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5：玻璃接口使用法兰密封避免了使用真空硅脂密封出现难以打开的现象；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6：</w:t>
      </w: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Fonts w:hint="eastAsia" w:ascii="微软雅黑" w:hAnsi="微软雅黑" w:eastAsia="微软雅黑" w:cs="微软雅黑"/>
          <w:b w:val="0"/>
          <w:bCs/>
          <w:i w:val="0"/>
          <w:caps w:val="0"/>
          <w:color w:val="333333"/>
          <w:spacing w:val="0"/>
          <w:sz w:val="24"/>
          <w:szCs w:val="24"/>
          <w:shd w:val="clear" w:fill="FFFFFF"/>
        </w:rPr>
        <w:t>系列</w:t>
      </w:r>
      <w:r>
        <w:rPr>
          <w:rStyle w:val="7"/>
          <w:rFonts w:hint="eastAsia" w:ascii="微软雅黑" w:hAnsi="微软雅黑" w:eastAsia="微软雅黑" w:cs="微软雅黑"/>
          <w:b w:val="0"/>
          <w:bCs/>
          <w:i w:val="0"/>
          <w:caps w:val="0"/>
          <w:color w:val="333333"/>
          <w:spacing w:val="0"/>
          <w:sz w:val="24"/>
          <w:szCs w:val="24"/>
          <w:shd w:val="clear" w:fill="FFFFFF"/>
        </w:rPr>
        <w:t>可旋转可升降双层玻璃反应釜</w:t>
      </w:r>
      <w:r>
        <w:rPr>
          <w:rFonts w:hint="eastAsia" w:ascii="微软雅黑" w:hAnsi="微软雅黑" w:eastAsia="微软雅黑" w:cs="微软雅黑"/>
          <w:b w:val="0"/>
          <w:i w:val="0"/>
          <w:caps w:val="0"/>
          <w:color w:val="333333"/>
          <w:spacing w:val="0"/>
          <w:sz w:val="24"/>
          <w:szCs w:val="24"/>
          <w:shd w:val="clear" w:fill="FFFFFF"/>
        </w:rPr>
        <w:t>的采用全法兰接口连接，可以承受正压至0.03Mpa。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4" w:beforeAutospacing="0" w:after="174" w:afterAutospacing="0" w:line="375" w:lineRule="atLeast"/>
        <w:ind w:left="0" w:right="0" w:firstLine="0"/>
        <w:rPr>
          <w:rFonts w:hint="eastAsia" w:ascii="微软雅黑" w:hAnsi="微软雅黑" w:eastAsia="微软雅黑" w:cs="微软雅黑"/>
          <w:b/>
          <w:i w:val="0"/>
          <w:caps w:val="0"/>
          <w:color w:val="000000"/>
          <w:spacing w:val="0"/>
          <w:sz w:val="18"/>
          <w:szCs w:val="18"/>
        </w:rPr>
      </w:pPr>
      <w:r>
        <w:rPr>
          <w:rStyle w:val="7"/>
          <w:rFonts w:hint="eastAsia" w:ascii="微软雅黑" w:hAnsi="微软雅黑" w:eastAsia="微软雅黑" w:cs="微软雅黑"/>
          <w:b/>
          <w:i w:val="0"/>
          <w:caps w:val="0"/>
          <w:color w:val="000000"/>
          <w:spacing w:val="0"/>
          <w:sz w:val="24"/>
          <w:szCs w:val="24"/>
          <w:shd w:val="clear" w:fill="FFFFFF"/>
        </w:rPr>
        <w:t>二、整套系统，通常包括：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反应釜主体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搅拌单元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真空单元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温度控制单元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液体进料及液体滴加单元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釜体升降、旋转单元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其它特殊定制单元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4" w:beforeAutospacing="0" w:after="174" w:afterAutospacing="0" w:line="375" w:lineRule="atLeast"/>
        <w:ind w:left="0" w:right="0" w:firstLine="0"/>
        <w:rPr>
          <w:rFonts w:hint="eastAsia" w:ascii="微软雅黑" w:hAnsi="微软雅黑" w:eastAsia="微软雅黑" w:cs="微软雅黑"/>
          <w:b/>
          <w:i w:val="0"/>
          <w:caps w:val="0"/>
          <w:color w:val="000000"/>
          <w:spacing w:val="0"/>
          <w:sz w:val="18"/>
          <w:szCs w:val="18"/>
        </w:rPr>
      </w:pPr>
      <w:r>
        <w:rPr>
          <w:rStyle w:val="7"/>
          <w:rFonts w:hint="eastAsia" w:ascii="微软雅黑" w:hAnsi="微软雅黑" w:eastAsia="微软雅黑" w:cs="微软雅黑"/>
          <w:b/>
          <w:i w:val="0"/>
          <w:caps w:val="0"/>
          <w:color w:val="000000"/>
          <w:spacing w:val="0"/>
          <w:sz w:val="24"/>
          <w:szCs w:val="24"/>
          <w:shd w:val="clear" w:fill="FFFFFF"/>
        </w:rPr>
        <w:t>三、</w:t>
      </w: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Style w:val="7"/>
          <w:rFonts w:hint="eastAsia" w:ascii="微软雅黑" w:hAnsi="微软雅黑" w:eastAsia="微软雅黑" w:cs="微软雅黑"/>
          <w:b/>
          <w:i w:val="0"/>
          <w:caps w:val="0"/>
          <w:color w:val="FF0000"/>
          <w:spacing w:val="0"/>
          <w:sz w:val="24"/>
          <w:szCs w:val="24"/>
          <w:shd w:val="clear" w:fill="FFFFFF"/>
        </w:rPr>
        <w:t>系列可旋转可升降双层玻璃反应釜</w:t>
      </w:r>
      <w:r>
        <w:rPr>
          <w:rStyle w:val="7"/>
          <w:rFonts w:hint="eastAsia" w:ascii="微软雅黑" w:hAnsi="微软雅黑" w:eastAsia="微软雅黑" w:cs="微软雅黑"/>
          <w:b/>
          <w:i w:val="0"/>
          <w:caps w:val="0"/>
          <w:color w:val="000000"/>
          <w:spacing w:val="0"/>
          <w:sz w:val="24"/>
          <w:szCs w:val="24"/>
          <w:shd w:val="clear" w:fill="FFFFFF"/>
        </w:rPr>
        <w:t>的的主要组件详细描述：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1.反应釜部分：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夹套反应釜，高硼硅玻璃（</w:t>
      </w:r>
      <w:r>
        <w:rPr>
          <w:rFonts w:hint="eastAsia" w:ascii="微软雅黑" w:hAnsi="微软雅黑" w:eastAsia="微软雅黑" w:cs="微软雅黑"/>
          <w:b w:val="0"/>
          <w:i w:val="0"/>
          <w:caps w:val="0"/>
          <w:color w:val="333333"/>
          <w:spacing w:val="0"/>
          <w:sz w:val="24"/>
          <w:szCs w:val="24"/>
          <w:shd w:val="clear" w:fill="FFFFFF"/>
          <w:lang w:val="en-US" w:eastAsia="zh-CN"/>
        </w:rPr>
        <w:t>GG17</w:t>
      </w:r>
      <w:r>
        <w:rPr>
          <w:rFonts w:hint="eastAsia" w:ascii="微软雅黑" w:hAnsi="微软雅黑" w:eastAsia="微软雅黑" w:cs="微软雅黑"/>
          <w:b w:val="0"/>
          <w:i w:val="0"/>
          <w:caps w:val="0"/>
          <w:color w:val="333333"/>
          <w:spacing w:val="0"/>
          <w:sz w:val="24"/>
          <w:szCs w:val="24"/>
          <w:shd w:val="clear" w:fill="FFFFFF"/>
        </w:rPr>
        <w:t>）材质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工作容积：10L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分体式下放料阀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6开口釜盖：可安装搅拌器、恒压滴液漏斗、回流冷凝管、温度传感器、固体加料、液体加料等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釜盖与釜体采用手轮升降挤压式密封连接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所有与液体接触部分均采用硼硅玻璃或PTFE材质，有极好的抵抗化学腐蚀性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采用平行钢材底座设计，机身运行状态下更稳定，并配有脚轮，可方便移动。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整套系统可同时移动，保证整套设备的稳定性和空间安置的灵活性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2.搅拌部分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顶置式搅拌系统，保证整套设备的平稳性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双密封搅拌密封轴承，确保系统的高密封性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玻璃、不锈钢和PTFE包氟材质可供选择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搅拌桨选择PTFE材质，双层搅拌，也可很据实验要求方便替换其它形式搅拌浆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3.真空单元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多种型号真空泵/压力泵，可供选择。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隔膜真空泵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旋片式油封真空泵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循环水式多用真空泵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4.温度控制部分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shd w:val="clear" w:fill="FFFFFF"/>
        </w:rPr>
        <w:t>数字显示搅拌速度，变频，恒速搅拌系统，工作平稳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8"/>
          <w:szCs w:val="18"/>
        </w:rPr>
      </w:pPr>
      <w:r>
        <w:rPr>
          <w:rStyle w:val="7"/>
          <w:rFonts w:hint="eastAsia" w:ascii="微软雅黑" w:hAnsi="微软雅黑" w:eastAsia="微软雅黑" w:cs="微软雅黑"/>
          <w:i w:val="0"/>
          <w:caps w:val="0"/>
          <w:color w:val="000000"/>
          <w:spacing w:val="0"/>
          <w:sz w:val="24"/>
          <w:szCs w:val="24"/>
          <w:shd w:val="clear" w:fill="FFFFFF"/>
          <w:lang w:val="en-US" w:eastAsia="zh-CN"/>
        </w:rPr>
        <w:t>YHGF-2</w:t>
      </w:r>
      <w:r>
        <w:rPr>
          <w:rStyle w:val="7"/>
          <w:rFonts w:hint="eastAsia" w:ascii="微软雅黑" w:hAnsi="微软雅黑" w:eastAsia="微软雅黑" w:cs="微软雅黑"/>
          <w:i w:val="0"/>
          <w:caps w:val="0"/>
          <w:color w:val="333333"/>
          <w:spacing w:val="0"/>
          <w:sz w:val="24"/>
          <w:szCs w:val="24"/>
          <w:shd w:val="clear" w:fill="FFFFFF"/>
        </w:rPr>
        <w:t>系列可旋转可升降双层玻璃反应釜</w:t>
      </w:r>
      <w:r>
        <w:rPr>
          <w:rFonts w:hint="eastAsia" w:ascii="微软雅黑" w:hAnsi="微软雅黑" w:eastAsia="微软雅黑" w:cs="微软雅黑"/>
          <w:b w:val="0"/>
          <w:i w:val="0"/>
          <w:caps w:val="0"/>
          <w:color w:val="333333"/>
          <w:spacing w:val="0"/>
          <w:sz w:val="24"/>
          <w:szCs w:val="24"/>
          <w:shd w:val="clear" w:fill="FFFFFF"/>
        </w:rPr>
        <w:t>的可配备本公司生产的ZN智能生化反应装置，实时反映反应物料的温度值、酸度值、粘度值（扭矩）、搅拌转速值及段落编程控制，还可对加料泵进行速度和时间控制，与电脑相连可以实现远程实时数据采集、控制、记录及曲线绘制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74" w:beforeAutospacing="0" w:after="174" w:afterAutospacing="0" w:line="375" w:lineRule="atLeast"/>
        <w:ind w:left="0" w:right="0"/>
        <w:rPr>
          <w:rFonts w:ascii="微软雅黑" w:hAnsi="微软雅黑" w:eastAsia="微软雅黑" w:cs="微软雅黑"/>
          <w:b/>
          <w:sz w:val="18"/>
          <w:szCs w:val="18"/>
        </w:rPr>
      </w:pPr>
      <w:r>
        <w:rPr>
          <w:rStyle w:val="7"/>
          <w:rFonts w:hint="eastAsia" w:ascii="微软雅黑" w:hAnsi="微软雅黑" w:eastAsia="微软雅黑" w:cs="微软雅黑"/>
          <w:b/>
          <w:i w:val="0"/>
          <w:caps w:val="0"/>
          <w:color w:val="000000"/>
          <w:spacing w:val="0"/>
          <w:sz w:val="24"/>
          <w:szCs w:val="24"/>
          <w:shd w:val="clear" w:fill="FFFFFF"/>
          <w:vertAlign w:val="baseline"/>
        </w:rPr>
        <w:t>四、技术参数：</w:t>
      </w:r>
    </w:p>
    <w:tbl>
      <w:tblPr>
        <w:tblStyle w:val="5"/>
        <w:tblW w:w="8516"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12"/>
        <w:gridCol w:w="1724"/>
        <w:gridCol w:w="1678"/>
        <w:gridCol w:w="1601"/>
        <w:gridCol w:w="1601"/>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6" w:hRule="atLeast"/>
        </w:trPr>
        <w:tc>
          <w:tcPr>
            <w:tcW w:w="1912"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型号</w:t>
            </w:r>
          </w:p>
        </w:tc>
        <w:tc>
          <w:tcPr>
            <w:tcW w:w="172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b w:val="0"/>
                <w:bCs/>
                <w:color w:val="333333"/>
                <w:sz w:val="18"/>
                <w:szCs w:val="18"/>
              </w:rPr>
            </w:pP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Fonts w:hint="eastAsia" w:ascii="微软雅黑" w:hAnsi="微软雅黑" w:eastAsia="微软雅黑" w:cs="微软雅黑"/>
                <w:b w:val="0"/>
                <w:bCs/>
                <w:color w:val="333333"/>
                <w:sz w:val="24"/>
                <w:szCs w:val="24"/>
                <w:vertAlign w:val="baseline"/>
              </w:rPr>
              <w:t>-10L</w:t>
            </w:r>
          </w:p>
        </w:tc>
        <w:tc>
          <w:tcPr>
            <w:tcW w:w="167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b w:val="0"/>
                <w:bCs/>
                <w:color w:val="333333"/>
                <w:sz w:val="18"/>
                <w:szCs w:val="18"/>
              </w:rPr>
            </w:pP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Fonts w:hint="eastAsia" w:ascii="微软雅黑" w:hAnsi="微软雅黑" w:eastAsia="微软雅黑" w:cs="微软雅黑"/>
                <w:b w:val="0"/>
                <w:bCs/>
                <w:color w:val="333333"/>
                <w:sz w:val="24"/>
                <w:szCs w:val="24"/>
                <w:vertAlign w:val="baseline"/>
              </w:rPr>
              <w:t>-20L</w:t>
            </w:r>
          </w:p>
        </w:tc>
        <w:tc>
          <w:tcPr>
            <w:tcW w:w="1601"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b w:val="0"/>
                <w:bCs/>
                <w:color w:val="333333"/>
                <w:sz w:val="18"/>
                <w:szCs w:val="18"/>
              </w:rPr>
            </w:pP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Fonts w:hint="eastAsia" w:ascii="微软雅黑" w:hAnsi="微软雅黑" w:eastAsia="微软雅黑" w:cs="微软雅黑"/>
                <w:b w:val="0"/>
                <w:bCs/>
                <w:color w:val="333333"/>
                <w:sz w:val="24"/>
                <w:szCs w:val="24"/>
                <w:vertAlign w:val="baseline"/>
              </w:rPr>
              <w:t>-30L</w:t>
            </w:r>
          </w:p>
        </w:tc>
        <w:tc>
          <w:tcPr>
            <w:tcW w:w="1601"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b w:val="0"/>
                <w:bCs/>
                <w:color w:val="333333"/>
                <w:sz w:val="18"/>
                <w:szCs w:val="18"/>
              </w:rPr>
            </w:pPr>
            <w:r>
              <w:rPr>
                <w:rStyle w:val="7"/>
                <w:rFonts w:hint="eastAsia" w:ascii="微软雅黑" w:hAnsi="微软雅黑" w:eastAsia="微软雅黑" w:cs="微软雅黑"/>
                <w:b w:val="0"/>
                <w:bCs/>
                <w:i w:val="0"/>
                <w:caps w:val="0"/>
                <w:color w:val="000000"/>
                <w:spacing w:val="0"/>
                <w:sz w:val="24"/>
                <w:szCs w:val="24"/>
                <w:shd w:val="clear" w:fill="FFFFFF"/>
                <w:lang w:val="en-US" w:eastAsia="zh-CN"/>
              </w:rPr>
              <w:t>ZYSF</w:t>
            </w:r>
            <w:r>
              <w:rPr>
                <w:rFonts w:hint="eastAsia" w:ascii="微软雅黑" w:hAnsi="微软雅黑" w:eastAsia="微软雅黑" w:cs="微软雅黑"/>
                <w:b w:val="0"/>
                <w:bCs/>
                <w:color w:val="333333"/>
                <w:sz w:val="24"/>
                <w:szCs w:val="24"/>
                <w:vertAlign w:val="baseline"/>
              </w:rPr>
              <w:t>-50L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釜体材质</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高硼硅玻璃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温度传感器材质</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不锈钢外包四氟，双重防腐</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工作温度</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w:t>
            </w:r>
            <w:r>
              <w:rPr>
                <w:rFonts w:hint="eastAsia" w:ascii="微软雅黑" w:hAnsi="微软雅黑" w:eastAsia="微软雅黑" w:cs="微软雅黑"/>
                <w:color w:val="333333"/>
                <w:sz w:val="24"/>
                <w:szCs w:val="24"/>
                <w:vertAlign w:val="baseline"/>
                <w:lang w:val="en-US" w:eastAsia="zh-CN"/>
              </w:rPr>
              <w:t>10</w:t>
            </w:r>
            <w:r>
              <w:rPr>
                <w:rFonts w:hint="eastAsia" w:ascii="微软雅黑" w:hAnsi="微软雅黑" w:eastAsia="微软雅黑" w:cs="微软雅黑"/>
                <w:color w:val="333333"/>
                <w:sz w:val="24"/>
                <w:szCs w:val="24"/>
                <w:vertAlign w:val="baseline"/>
              </w:rPr>
              <w:t>0~</w:t>
            </w:r>
            <w:r>
              <w:rPr>
                <w:rFonts w:hint="eastAsia" w:ascii="微软雅黑" w:hAnsi="微软雅黑" w:eastAsia="微软雅黑" w:cs="微软雅黑"/>
                <w:color w:val="333333"/>
                <w:sz w:val="24"/>
                <w:szCs w:val="24"/>
                <w:vertAlign w:val="baseline"/>
                <w:lang w:val="en-US" w:eastAsia="zh-CN"/>
              </w:rPr>
              <w:t>3</w:t>
            </w:r>
            <w:r>
              <w:rPr>
                <w:rFonts w:hint="eastAsia" w:ascii="微软雅黑" w:hAnsi="微软雅黑" w:eastAsia="微软雅黑" w:cs="微软雅黑"/>
                <w:color w:val="333333"/>
                <w:sz w:val="24"/>
                <w:szCs w:val="24"/>
                <w:vertAlign w:val="baseline"/>
              </w:rPr>
              <w:t>00℃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调节方式</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变频调速</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可承受夹套内外温差</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60℃（三层）、110℃（双层）</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进出液循环口</w:t>
            </w:r>
          </w:p>
        </w:tc>
        <w:tc>
          <w:tcPr>
            <w:tcW w:w="6604" w:type="dxa"/>
            <w:gridSpan w:val="4"/>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DN15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nil"/>
              <w:left w:val="single" w:color="000000" w:sz="6" w:space="0"/>
              <w:bottom w:val="single" w:color="auto" w:sz="4"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电源</w:t>
            </w:r>
          </w:p>
        </w:tc>
        <w:tc>
          <w:tcPr>
            <w:tcW w:w="6604" w:type="dxa"/>
            <w:gridSpan w:val="4"/>
            <w:tcBorders>
              <w:top w:val="nil"/>
              <w:left w:val="nil"/>
              <w:bottom w:val="single" w:color="auto" w:sz="4"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24"/>
                <w:szCs w:val="24"/>
                <w:vertAlign w:val="baseline"/>
              </w:rPr>
              <w:t>220/50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1912" w:type="dxa"/>
            <w:tcBorders>
              <w:top w:val="single" w:color="auto" w:sz="4"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24"/>
                <w:szCs w:val="24"/>
                <w:vertAlign w:val="baseline"/>
                <w:lang w:val="en-US" w:eastAsia="zh-CN"/>
              </w:rPr>
            </w:pPr>
            <w:r>
              <w:rPr>
                <w:rFonts w:hint="eastAsia" w:ascii="微软雅黑" w:hAnsi="微软雅黑" w:eastAsia="微软雅黑" w:cs="微软雅黑"/>
                <w:color w:val="333333"/>
                <w:sz w:val="24"/>
                <w:szCs w:val="24"/>
                <w:vertAlign w:val="baseline"/>
                <w:lang w:val="en-US" w:eastAsia="zh-CN"/>
              </w:rPr>
              <w:t>转速</w:t>
            </w:r>
          </w:p>
        </w:tc>
        <w:tc>
          <w:tcPr>
            <w:tcW w:w="6604" w:type="dxa"/>
            <w:gridSpan w:val="4"/>
            <w:tcBorders>
              <w:top w:val="single" w:color="auto" w:sz="4"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color w:val="333333"/>
                <w:sz w:val="24"/>
                <w:szCs w:val="24"/>
                <w:vertAlign w:val="baseline"/>
                <w:lang w:val="en-US" w:eastAsia="zh-CN"/>
              </w:rPr>
            </w:pPr>
            <w:r>
              <w:rPr>
                <w:rFonts w:hint="eastAsia" w:ascii="微软雅黑" w:hAnsi="微软雅黑" w:eastAsia="微软雅黑" w:cs="微软雅黑"/>
                <w:color w:val="333333"/>
                <w:sz w:val="24"/>
                <w:szCs w:val="24"/>
                <w:vertAlign w:val="baseline"/>
                <w:lang w:val="en-US" w:eastAsia="zh-CN"/>
              </w:rPr>
              <w:t>0-650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宋体" w:hAnsi="宋体" w:eastAsia="宋体" w:cs="宋体"/>
          <w:b w:val="0"/>
          <w:i w:val="0"/>
          <w:caps w:val="0"/>
          <w:color w:val="4E4E4E"/>
          <w:spacing w:val="0"/>
          <w:sz w:val="17"/>
          <w:szCs w:val="1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393B"/>
    <w:rsid w:val="0C98571F"/>
    <w:rsid w:val="185F736B"/>
    <w:rsid w:val="36F171EE"/>
    <w:rsid w:val="3F2F26DB"/>
    <w:rsid w:val="728B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uiPriority w:val="6"/>
    <w:pPr>
      <w:pBdr>
        <w:bottom w:val="single" w:color="000000" w:sz="6" w:space="1"/>
      </w:pBdr>
      <w:tabs>
        <w:tab w:val="center" w:pos="4153"/>
        <w:tab w:val="right" w:pos="8306"/>
      </w:tabs>
      <w:jc w:val="center"/>
    </w:pPr>
    <w:rPr>
      <w:kern w:val="1"/>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style2"/>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予华仪器@刘辉</cp:lastModifiedBy>
  <dcterms:modified xsi:type="dcterms:W3CDTF">2019-06-25T08:41:11Z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