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1"/>
          <w:szCs w:val="21"/>
          <w:shd w:val="clear" w:fill="FFFFFF"/>
        </w:rPr>
        <w:t>ATDS-3400A</w:t>
      </w:r>
      <w:r>
        <w:rPr>
          <w:rStyle w:val="11"/>
          <w:rFonts w:hint="eastAsia" w:ascii="微软雅黑" w:hAnsi="微软雅黑" w:eastAsia="微软雅黑" w:cs="微软雅黑"/>
          <w:b/>
          <w:bCs/>
          <w:color w:val="333333"/>
          <w:sz w:val="21"/>
          <w:szCs w:val="21"/>
          <w:shd w:val="clear" w:fill="FFFFFF"/>
        </w:rPr>
        <w:t>热解析仪</w:t>
      </w:r>
      <w:r>
        <w:rPr>
          <w:rFonts w:hint="eastAsia" w:ascii="微软雅黑" w:hAnsi="微软雅黑" w:eastAsia="微软雅黑" w:cs="微软雅黑"/>
          <w:b/>
          <w:bCs/>
          <w:color w:val="333333"/>
          <w:sz w:val="21"/>
          <w:szCs w:val="21"/>
          <w:shd w:val="clear" w:fill="FFFFFF"/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05000" cy="208597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color w:val="FFFFFF" w:themeColor="background1"/>
          <w:sz w:val="24"/>
          <w:szCs w:val="24"/>
          <w:highlight w:val="blu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24"/>
          <w:szCs w:val="24"/>
          <w:highlight w:val="blue"/>
          <w:lang w:val="en-US" w:eastAsia="zh-CN"/>
        </w:rPr>
        <w:t>功能简介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ATDS-3400A多功能解析仪是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  <w:lang w:eastAsia="zh-CN"/>
        </w:rPr>
        <w:t>北京鸿作盛威科技有限公司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一款新型样品予处理装置，该仪器是把热解析、标样模拟采样、解析管活化设计为一体，经济实用。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highlight w:val="blue"/>
        </w:rPr>
      </w:pPr>
      <w:r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highlight w:val="blue"/>
          <w:shd w:val="clear" w:fill="FFFFFF"/>
        </w:rPr>
        <w:t>应用范围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    ATDS-3400A多功能解析仪可与所有进口、国产的气相色谱仪配用，环境中的可挥发性有机化合物zui小检测浓度可达ppb级。ATDS-3400A多功能解析仪除能满足GB50325-2010“民用建筑工程室内环境污染控制规范”中的“室内空气中苯的测定”和“室内空气中总挥发性有机化合物（TVOC）的测定”外，还可适用于以下领域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1. 职业安全、工业卫生和环境监测；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2. 不明大气快速鉴定；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3. 香料、香精分析；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4. 有毒物质事故评估（人员何时可以安全返回事故地点）；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5. 化学武器库房的周界环境安全监测；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6. 聚合物、包装工业中的质量控制测试；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7. 药物溶剂和产品纯度评估；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8. 药物和法庭样品的残留分析；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9. 医院中采集病人呼出的气体、检测血液中挥发性的药物代谢物等。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highlight w:val="blu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highlight w:val="blue"/>
          <w:shd w:val="clear" w:fill="FFFFFF"/>
          <w:lang w:eastAsia="zh-CN"/>
        </w:rPr>
        <w:t>功能</w:t>
      </w:r>
      <w:r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highlight w:val="blue"/>
          <w:shd w:val="clear" w:fill="FFFFFF"/>
        </w:rPr>
        <w:t>特点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1.热解析仪、模拟采样、吸附管活化仪一体化设计，更实用，更方便；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2.自动化设计，一机多用，易于操作；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3.微机控制，大屏液晶显示，触摸键盘，数字输入，主要功能有：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   ⑴ 方法参数设置、实时工作状态、运行时间；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   ⑵ 解析炉、活化炉、进样阀和样品传送管，四路均独立加热控温；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   ⑶ 设定程序控制，按下运行键自动完成整个样品分析；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   ⑷ 可存储9种方法方便随时调用，实现了快速启动与分析；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   ⑸ 可同步启动GC、色谱数据处理工作站，也可用外来程序启动本装置；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4.设有外加载气调节系统，无需对于GC仪器进行任何改装与变动便可操作，可用原仪器载气；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5.解析进样分析和活化吸附管可同时进行，互不影响；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6.对解析后的吸附管有自动反吹功能；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7.通过外事时间编程，自动实现解析、进样、分析和分析后的反吹等功能；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8.对于活性物质分析可选配弹性石英管作为样品传送管；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9.驱动用关键部件采用了进口的气动元件；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10.进样针头更换方便，可连接国内外所有型号的GC进样口。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highlight w:val="blue"/>
        </w:rPr>
      </w:pPr>
      <w:r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highlight w:val="blue"/>
          <w:shd w:val="clear" w:fill="FFFFFF"/>
        </w:rPr>
        <w:t>技术参数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1.样品区温度控制范围：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   室温—400℃  以增量1℃任设 加热功率约200W；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2.活化炉温度控制范围：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   室温—400℃  以增量1℃任设 加热功率约400W；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3.阀进样系统温度控制范围：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   室温—180℃  以增量1℃任设 加热功率约60W；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4.样品传送管线温度控制范围：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   室温—200℃  以增量1℃任设 加热功率约40W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  （为了操作安全，传送管线温度控制采用低压供电）；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5.温度控制精度：&lt; ±0.5℃ 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6.温度控制梯度：&lt; ±0.5℃；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7.活化吸附管数量：6支+1支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8.解吸回收率：〉95%（和组分有关）；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9.活化反吹流量：0～600ml/min （连续可调）；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10.模拟采样流量：100ml/min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11.仪器尺寸：400×170×300mm3；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12.仪器重量：约15kg。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240" w:firstLineChars="1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</w:pPr>
    </w:p>
    <w:tbl>
      <w:tblPr>
        <w:tblStyle w:val="9"/>
        <w:tblpPr w:leftFromText="180" w:rightFromText="180" w:vertAnchor="text" w:horzAnchor="page" w:tblpX="1290" w:tblpY="3100"/>
        <w:tblOverlap w:val="never"/>
        <w:tblW w:w="9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2" w:type="dxa"/>
            <w:shd w:val="clear" w:color="auto" w:fill="8EAADB" w:themeFill="accent1" w:themeFillTint="99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240" w:firstLineChars="1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  <w:t>销售电话：010-60720402   010-62489782   13681449049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240" w:firstLineChars="1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  <w:t>传真：010-62489782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240" w:firstLineChars="1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  <w:t>邮箱：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  <w:instrText xml:space="preserve"> HYPERLINK "mailto:bjhzsv@163.com" </w:instrTex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  <w:t>bjhzsv@163.com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  <w:fldChar w:fldCharType="end"/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240" w:firstLineChars="1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  <w:t>网站：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  <w:instrText xml:space="preserve"> HYPERLINK "http://www.bjhzsv.com" </w:instrTex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  <w:t>www.bjhzsv.com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  <w:fldChar w:fldCharType="end"/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240" w:firstLineChars="1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en-US"/>
              </w:rPr>
              <w:t>地址：北京市昌平区回龙观镇发展路8号院8号楼9层915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240" w:firstLineChars="1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134" w:right="1134" w:bottom="1134" w:left="1276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45"/>
      <w:ind w:left="0" w:leftChars="0" w:firstLine="0" w:firstLineChars="0"/>
      <w:jc w:val="both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4930775</wp:posOffset>
          </wp:positionH>
          <wp:positionV relativeFrom="paragraph">
            <wp:posOffset>-24765</wp:posOffset>
          </wp:positionV>
          <wp:extent cx="865505" cy="452120"/>
          <wp:effectExtent l="0" t="0" r="10795" b="5080"/>
          <wp:wrapTight wrapText="bothSides">
            <wp:wrapPolygon>
              <wp:start x="0" y="0"/>
              <wp:lineTo x="0" y="20933"/>
              <wp:lineTo x="20919" y="20933"/>
              <wp:lineTo x="20919" y="0"/>
              <wp:lineTo x="0" y="0"/>
            </wp:wrapPolygon>
          </wp:wrapTight>
          <wp:docPr id="4" name="图片 4" descr="LOGO-剪切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LOGO-剪切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sz w:val="18"/>
        <w:szCs w:val="18"/>
        <w:lang w:eastAsia="zh-CN"/>
      </w:rPr>
      <w:t>北京鸿作盛威科技有限公司</w: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 xml:space="preserve">                                  </w:t>
    </w:r>
  </w:p>
  <w:p>
    <w:pPr>
      <w:pStyle w:val="6"/>
      <w:jc w:val="both"/>
      <w:rPr>
        <w:rFonts w:hint="eastAsia" w:ascii="宋体" w:hAnsi="宋体" w:eastAsia="宋体" w:cs="宋体"/>
        <w:b/>
        <w:bCs/>
        <w:sz w:val="18"/>
        <w:szCs w:val="18"/>
      </w:rPr>
    </w:pPr>
    <w:r>
      <w:rPr>
        <w:rFonts w:hint="eastAsia" w:ascii="宋体" w:hAnsi="宋体" w:eastAsia="宋体" w:cs="宋体"/>
        <w:b/>
        <w:bCs/>
        <w:sz w:val="18"/>
        <w:szCs w:val="18"/>
      </w:rPr>
      <w:t>Beijing Hongzuo Shengwei Technology Co., 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31D35"/>
    <w:rsid w:val="00031D35"/>
    <w:rsid w:val="000A7940"/>
    <w:rsid w:val="001560E0"/>
    <w:rsid w:val="00380A92"/>
    <w:rsid w:val="00494445"/>
    <w:rsid w:val="0062367D"/>
    <w:rsid w:val="00640A33"/>
    <w:rsid w:val="006560C2"/>
    <w:rsid w:val="006966BD"/>
    <w:rsid w:val="007E2F6A"/>
    <w:rsid w:val="008272F5"/>
    <w:rsid w:val="009207D5"/>
    <w:rsid w:val="009A387C"/>
    <w:rsid w:val="00C26F3F"/>
    <w:rsid w:val="00CA74EB"/>
    <w:rsid w:val="00D123C5"/>
    <w:rsid w:val="00E81FA7"/>
    <w:rsid w:val="00F36686"/>
    <w:rsid w:val="00F60CFF"/>
    <w:rsid w:val="00FB0A20"/>
    <w:rsid w:val="11CB0204"/>
    <w:rsid w:val="138E095F"/>
    <w:rsid w:val="14007E0E"/>
    <w:rsid w:val="1D762037"/>
    <w:rsid w:val="1F1B3151"/>
    <w:rsid w:val="31B257E9"/>
    <w:rsid w:val="38C039B3"/>
    <w:rsid w:val="3A532442"/>
    <w:rsid w:val="3E525585"/>
    <w:rsid w:val="41CF4071"/>
    <w:rsid w:val="42C44E66"/>
    <w:rsid w:val="462C19A9"/>
    <w:rsid w:val="46B86EC6"/>
    <w:rsid w:val="4E204B4C"/>
    <w:rsid w:val="50D15693"/>
    <w:rsid w:val="55AD713B"/>
    <w:rsid w:val="62B47EAB"/>
    <w:rsid w:val="666C1E18"/>
    <w:rsid w:val="67980FC5"/>
    <w:rsid w:val="67EC0127"/>
    <w:rsid w:val="69674D6A"/>
    <w:rsid w:val="6CA61221"/>
    <w:rsid w:val="75790863"/>
    <w:rsid w:val="75E34EB3"/>
    <w:rsid w:val="799A5823"/>
    <w:rsid w:val="7A2E2FD2"/>
    <w:rsid w:val="7AAA340E"/>
    <w:rsid w:val="7C2C5104"/>
    <w:rsid w:val="7C626509"/>
    <w:rsid w:val="7D35104B"/>
    <w:rsid w:val="7D8072A6"/>
    <w:rsid w:val="7DED5B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黑体" w:hAnsi="黑体" w:eastAsia="黑体" w:cs="黑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16"/>
    <w:qFormat/>
    <w:uiPriority w:val="1"/>
    <w:pPr>
      <w:spacing w:before="67"/>
      <w:ind w:left="375"/>
      <w:outlineLvl w:val="0"/>
    </w:pPr>
    <w:rPr>
      <w:rFonts w:ascii="宋体" w:hAnsi="宋体" w:eastAsia="宋体" w:cs="宋体"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1"/>
    <w:rPr>
      <w:sz w:val="16"/>
      <w:szCs w:val="16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0"/>
    <w:link w:val="2"/>
    <w:qFormat/>
    <w:uiPriority w:val="1"/>
    <w:rPr>
      <w:rFonts w:ascii="宋体" w:hAnsi="宋体" w:eastAsia="宋体" w:cs="宋体"/>
      <w:kern w:val="0"/>
      <w:sz w:val="24"/>
      <w:szCs w:val="24"/>
      <w:lang w:eastAsia="en-US" w:bidi="en-US"/>
    </w:r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正文文本 Char"/>
    <w:basedOn w:val="10"/>
    <w:link w:val="3"/>
    <w:qFormat/>
    <w:uiPriority w:val="1"/>
    <w:rPr>
      <w:rFonts w:ascii="黑体" w:hAnsi="黑体" w:eastAsia="黑体" w:cs="黑体"/>
      <w:kern w:val="0"/>
      <w:sz w:val="16"/>
      <w:szCs w:val="16"/>
      <w:lang w:eastAsia="en-US" w:bidi="en-US"/>
    </w:rPr>
  </w:style>
  <w:style w:type="paragraph" w:styleId="19">
    <w:name w:val="List Paragraph"/>
    <w:basedOn w:val="1"/>
    <w:qFormat/>
    <w:uiPriority w:val="1"/>
    <w:pPr>
      <w:ind w:left="709"/>
    </w:pPr>
  </w:style>
  <w:style w:type="character" w:customStyle="1" w:styleId="20">
    <w:name w:val="li1"/>
    <w:basedOn w:val="10"/>
    <w:qFormat/>
    <w:uiPriority w:val="0"/>
  </w:style>
  <w:style w:type="character" w:customStyle="1" w:styleId="21">
    <w:name w:val="picturewrong"/>
    <w:basedOn w:val="10"/>
    <w:qFormat/>
    <w:uiPriority w:val="0"/>
  </w:style>
  <w:style w:type="character" w:customStyle="1" w:styleId="22">
    <w:name w:val="next"/>
    <w:basedOn w:val="10"/>
    <w:qFormat/>
    <w:uiPriority w:val="0"/>
    <w:rPr>
      <w:color w:val="999999"/>
      <w:bdr w:val="single" w:color="CCCCCC" w:sz="6" w:space="0"/>
      <w:shd w:val="clear" w:fill="F8F8F8"/>
    </w:rPr>
  </w:style>
  <w:style w:type="character" w:customStyle="1" w:styleId="23">
    <w:name w:val="next1"/>
    <w:basedOn w:val="10"/>
    <w:qFormat/>
    <w:uiPriority w:val="0"/>
    <w:rPr>
      <w:color w:val="999999"/>
      <w:bdr w:val="single" w:color="CCCCCC" w:sz="6" w:space="0"/>
      <w:shd w:val="clear" w:fill="F8F8F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</Words>
  <Characters>770</Characters>
  <Lines>6</Lines>
  <Paragraphs>1</Paragraphs>
  <TotalTime>0</TotalTime>
  <ScaleCrop>false</ScaleCrop>
  <LinksUpToDate>false</LinksUpToDate>
  <CharactersWithSpaces>904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2019-02-26T01:58:00Z</dcterms:created>
  <dc:creator>lenovo</dc:creator>
  <cp:lastModifiedBy>川川的世界</cp:lastModifiedBy>
  <dcterms:modified xsi:type="dcterms:W3CDTF">2019-11-28T06:20:46Z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