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 w:firstLine="0"/>
        <w:jc w:val="both"/>
        <w:rPr>
          <w:rFonts w:ascii="Arial" w:hAnsi="Arial" w:cs="Arial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傅立叶变换红外光谱仪WQF-510A/520A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4867275" cy="1981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highlight w:val="blue"/>
          <w:shd w:val="clear" w:fill="FFFFFF"/>
        </w:rPr>
        <w:t>应用范围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WQF-510A/520A型傅立叶变换红外光谱仪具有操作简便，维护成本低，软件丰富流畅等特点，可广泛地应用在石油、化工、医药、环保、食品、材料科学、公安、国防等各个领域，是科研、生产不可缺少的分析测试仪器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highlight w:val="blu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highlight w:val="blue"/>
          <w:shd w:val="clear" w:fill="FFFFFF"/>
          <w:lang w:eastAsia="zh-CN"/>
        </w:rPr>
        <w:t>功能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highlight w:val="blue"/>
          <w:shd w:val="clear" w:fill="FFFFFF"/>
        </w:rPr>
        <w:t>特点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新型角镜型迈克尔逊干涉仪体积更小、结构更紧凑，具有更优良的稳定性和抗震性。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干涉仪多重密封防潮、防尘的设计使仪器对环境的适应能力更强。可视硅胶窗口便于观察及更换。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外置隔离红外光源及大空间散热腔设计，仪器具有更高的热学稳定性，无须动态调整就具有稳定的干涉度。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高强度红外光源采用球形反射装置，可获得均匀、稳定的红外辐射。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散热风扇弹性悬浮设计具有良好的机械稳定性。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超宽大空间样品室设计更便于工作。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程控增益放大电路、高精度A/D转换电路的设计及嵌入式微机的应用，提高了仪器的精度及可靠性。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光谱仪与计算机间通过USB方式进行控制和数据通讯，完全实现即插即用。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通用微机系统，全中文应用软件界面友好、内容丰富。具备完整的谱图采集、光谱转换、光谱处理、光谱分析及谱图输出功能，使得操作更简单、方便、灵活。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拥有多种专用红外谱库，除常规检索外，用户可进行添加维护，并自定义新的谱库。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包括液体池、气体池、红外显微镜、ATR、漫反射、镜面反射、微量样品等在内的适用于各类型样品的红外附件。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数据系统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>:</w:t>
      </w: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通用微机，连接喷墨或激光打印机，可输出高质量的光谱图。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软件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>:</w:t>
      </w: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全新中文应用软件：Windows操作系统下的通用操作软件系统。包括谱库检索软件、定量分析软件、谱图输出软件。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红外谱库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>:</w:t>
      </w: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包括聚合物、有机物、无机物、矿物、纤维、活化剂、毒品、气相谱库在内的11种专业谱库。可选配的通用红外光谱库6万张。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highlight w:val="blue"/>
          <w:shd w:val="clear" w:fill="FFFFFF"/>
        </w:rPr>
        <w:t>技术参数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波数范围：  350cm-1～7800cm-1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分辨率：　　510A型：优于0.85cm-1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 xml:space="preserve">             </w:t>
      </w: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520A型：优于0.5cm-1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波数精度：　±0.01cm-1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扫描速度：　0.2-2.5cm/s,微机控制和选择不同的扫描速度。档次连续可调，特别适合MCT和光声光谱附件的应用。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信噪比：优于15000:1（RMS值，在2100cm-1处，4cm-1分辨率，DLATGS探测器，1分钟数据采集。）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分束器：　　KBr基片镀锗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探测器：　　标准配置DLATGS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光　源：　　高强度空气冷却红外光源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仪器尺寸：光学台：64×64×30cm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1470" w:firstLineChars="70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计算机：50×42×18cm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1470" w:firstLineChars="70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显示器：36×40×37cm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重量：28kg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电　源：交流：220V/50Hz      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color w:val="333333"/>
          <w:sz w:val="21"/>
          <w:szCs w:val="21"/>
          <w:shd w:val="clear" w:fill="FFFFFF"/>
        </w:rPr>
        <w:t>  功率：1000VA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</w:pPr>
    </w:p>
    <w:tbl>
      <w:tblPr>
        <w:tblStyle w:val="9"/>
        <w:tblpPr w:leftFromText="180" w:rightFromText="180" w:vertAnchor="text" w:horzAnchor="page" w:tblpX="1290" w:tblpY="3100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2" w:type="dxa"/>
            <w:shd w:val="clear" w:color="auto" w:fill="8EAADB" w:themeFill="accent1" w:themeFillTint="99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销售电话：010-60720402   010-62489782   13681449049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传真：010-62489782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邮箱：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instrText xml:space="preserve"> HYPERLINK "mailto:bjhzsv@163.com"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bjhzsv@163.com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网站：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instrText xml:space="preserve"> HYPERLINK "http://www.bjhzsv.com"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www.bjhzsv.com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地址：北京市昌平区回龙观镇发展路8号院8号楼9层915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en-US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134" w:bottom="1134" w:left="1276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5"/>
      <w:ind w:left="0" w:leftChars="0" w:firstLine="0" w:firstLineChars="0"/>
      <w:jc w:val="both"/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</w:pP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-24765</wp:posOffset>
          </wp:positionV>
          <wp:extent cx="865505" cy="452120"/>
          <wp:effectExtent l="0" t="0" r="10795" b="5080"/>
          <wp:wrapTight wrapText="bothSides">
            <wp:wrapPolygon>
              <wp:start x="0" y="0"/>
              <wp:lineTo x="0" y="20933"/>
              <wp:lineTo x="20919" y="20933"/>
              <wp:lineTo x="20919" y="0"/>
              <wp:lineTo x="0" y="0"/>
            </wp:wrapPolygon>
          </wp:wrapTight>
          <wp:docPr id="4" name="图片 4" descr="LOGO-剪切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-剪切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sz w:val="18"/>
        <w:szCs w:val="18"/>
        <w:lang w:eastAsia="zh-CN"/>
      </w:rPr>
      <w:t>北京鸿作盛威科技有限公司</w:t>
    </w: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t xml:space="preserve">                                  </w:t>
    </w:r>
  </w:p>
  <w:p>
    <w:pPr>
      <w:pStyle w:val="6"/>
      <w:jc w:val="both"/>
      <w:rPr>
        <w:rFonts w:hint="eastAsia" w:ascii="宋体" w:hAnsi="宋体" w:eastAsia="宋体" w:cs="宋体"/>
        <w:b/>
        <w:bCs/>
        <w:sz w:val="18"/>
        <w:szCs w:val="18"/>
      </w:rPr>
    </w:pPr>
    <w:r>
      <w:rPr>
        <w:rFonts w:hint="eastAsia" w:ascii="宋体" w:hAnsi="宋体" w:eastAsia="宋体" w:cs="宋体"/>
        <w:b/>
        <w:bCs/>
        <w:sz w:val="18"/>
        <w:szCs w:val="18"/>
      </w:rPr>
      <w:t>Beijing Hongzuo Shengwei Technology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19C6"/>
    <w:multiLevelType w:val="singleLevel"/>
    <w:tmpl w:val="366119C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1D35"/>
    <w:rsid w:val="00031D35"/>
    <w:rsid w:val="000A7940"/>
    <w:rsid w:val="001560E0"/>
    <w:rsid w:val="00380A92"/>
    <w:rsid w:val="00494445"/>
    <w:rsid w:val="0062367D"/>
    <w:rsid w:val="00640A33"/>
    <w:rsid w:val="006560C2"/>
    <w:rsid w:val="006966BD"/>
    <w:rsid w:val="007E2F6A"/>
    <w:rsid w:val="008272F5"/>
    <w:rsid w:val="009207D5"/>
    <w:rsid w:val="009A387C"/>
    <w:rsid w:val="00C26F3F"/>
    <w:rsid w:val="00CA74EB"/>
    <w:rsid w:val="00D123C5"/>
    <w:rsid w:val="00E81FA7"/>
    <w:rsid w:val="00F36686"/>
    <w:rsid w:val="00F60CFF"/>
    <w:rsid w:val="00FB0A20"/>
    <w:rsid w:val="11CB0204"/>
    <w:rsid w:val="138E095F"/>
    <w:rsid w:val="14007E0E"/>
    <w:rsid w:val="1D762037"/>
    <w:rsid w:val="1F1B3151"/>
    <w:rsid w:val="31B257E9"/>
    <w:rsid w:val="38C039B3"/>
    <w:rsid w:val="3A532442"/>
    <w:rsid w:val="3E525585"/>
    <w:rsid w:val="41CF4071"/>
    <w:rsid w:val="42C44E66"/>
    <w:rsid w:val="462C19A9"/>
    <w:rsid w:val="46B86EC6"/>
    <w:rsid w:val="4E204B4C"/>
    <w:rsid w:val="50D15693"/>
    <w:rsid w:val="55AD713B"/>
    <w:rsid w:val="5C20705E"/>
    <w:rsid w:val="62B47EAB"/>
    <w:rsid w:val="651D7E88"/>
    <w:rsid w:val="666C1E18"/>
    <w:rsid w:val="67980FC5"/>
    <w:rsid w:val="67EC0127"/>
    <w:rsid w:val="69674D6A"/>
    <w:rsid w:val="6B6800BF"/>
    <w:rsid w:val="6CA61221"/>
    <w:rsid w:val="75790863"/>
    <w:rsid w:val="75E34EB3"/>
    <w:rsid w:val="799A5823"/>
    <w:rsid w:val="7A2E2FD2"/>
    <w:rsid w:val="7AAA340E"/>
    <w:rsid w:val="7C2C5104"/>
    <w:rsid w:val="7C626509"/>
    <w:rsid w:val="7D35104B"/>
    <w:rsid w:val="7D8072A6"/>
    <w:rsid w:val="7DED5B46"/>
    <w:rsid w:val="7E8654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6"/>
    <w:qFormat/>
    <w:uiPriority w:val="1"/>
    <w:pPr>
      <w:spacing w:before="67"/>
      <w:ind w:left="375"/>
      <w:outlineLvl w:val="0"/>
    </w:pPr>
    <w:rPr>
      <w:rFonts w:ascii="宋体" w:hAnsi="宋体" w:eastAsia="宋体" w:cs="宋体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rPr>
      <w:sz w:val="16"/>
      <w:szCs w:val="16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Char"/>
    <w:basedOn w:val="10"/>
    <w:link w:val="3"/>
    <w:qFormat/>
    <w:uiPriority w:val="1"/>
    <w:rPr>
      <w:rFonts w:ascii="黑体" w:hAnsi="黑体" w:eastAsia="黑体" w:cs="黑体"/>
      <w:kern w:val="0"/>
      <w:sz w:val="16"/>
      <w:szCs w:val="16"/>
      <w:lang w:eastAsia="en-US" w:bidi="en-US"/>
    </w:rPr>
  </w:style>
  <w:style w:type="paragraph" w:styleId="19">
    <w:name w:val="List Paragraph"/>
    <w:basedOn w:val="1"/>
    <w:qFormat/>
    <w:uiPriority w:val="1"/>
    <w:pPr>
      <w:ind w:left="709"/>
    </w:pPr>
  </w:style>
  <w:style w:type="character" w:customStyle="1" w:styleId="20">
    <w:name w:val="li1"/>
    <w:basedOn w:val="10"/>
    <w:qFormat/>
    <w:uiPriority w:val="0"/>
  </w:style>
  <w:style w:type="character" w:customStyle="1" w:styleId="21">
    <w:name w:val="picturewrong"/>
    <w:basedOn w:val="10"/>
    <w:qFormat/>
    <w:uiPriority w:val="0"/>
  </w:style>
  <w:style w:type="character" w:customStyle="1" w:styleId="22">
    <w:name w:val="next"/>
    <w:basedOn w:val="10"/>
    <w:qFormat/>
    <w:uiPriority w:val="0"/>
    <w:rPr>
      <w:color w:val="999999"/>
      <w:bdr w:val="single" w:color="CCCCCC" w:sz="6" w:space="0"/>
      <w:shd w:val="clear" w:fill="F8F8F8"/>
    </w:rPr>
  </w:style>
  <w:style w:type="character" w:customStyle="1" w:styleId="23">
    <w:name w:val="next1"/>
    <w:basedOn w:val="10"/>
    <w:qFormat/>
    <w:uiPriority w:val="0"/>
    <w:rPr>
      <w:color w:val="999999"/>
      <w:bdr w:val="single" w:color="CCCCCC" w:sz="6" w:space="0"/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3</TotalTime>
  <ScaleCrop>false</ScaleCrop>
  <LinksUpToDate>false</LinksUpToDate>
  <CharactersWithSpaces>904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2019-02-26T01:58:00Z</dcterms:created>
  <dc:creator>lenovo</dc:creator>
  <cp:lastModifiedBy>川川的世界</cp:lastModifiedBy>
  <dcterms:modified xsi:type="dcterms:W3CDTF">2019-11-28T06:37:48Z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