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方正大标宋简体" w:hAnsi="Arial" w:eastAsia="方正大标宋简体" w:cs="Arial"/>
          <w:sz w:val="44"/>
          <w:szCs w:val="44"/>
        </w:rPr>
      </w:pPr>
      <w:r>
        <w:rPr>
          <w:rFonts w:hint="eastAsia" w:ascii="方正正大黑简体" w:hAnsi="Arial" w:eastAsia="方正正大黑简体" w:cs="Arial"/>
          <w:sz w:val="72"/>
          <w:szCs w:val="72"/>
          <w:lang w:eastAsia="zh-CN"/>
        </w:rPr>
        <w:t>WN-108</w:t>
      </w:r>
      <w:r>
        <w:rPr>
          <w:rFonts w:hint="eastAsia" w:ascii="方正正大黑简体" w:eastAsia="方正正大黑简体" w:cs="Arial"/>
          <w:sz w:val="72"/>
          <w:szCs w:val="56"/>
        </w:rPr>
        <w:t>光合有效传感器</w:t>
      </w:r>
      <w:bookmarkStart w:id="0" w:name="_GoBack"/>
      <w:bookmarkEnd w:id="0"/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1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ascii="Arial" w:eastAsia="黑体" w:cs="Arial"/>
                <w:b/>
                <w:sz w:val="28"/>
                <w:szCs w:val="28"/>
              </w:rPr>
              <w:t>概述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eastAsia="zh-CN"/>
        </w:rPr>
        <w:t>WN-108</w:t>
      </w:r>
      <w:r>
        <w:rPr>
          <w:rFonts w:ascii="宋体" w:hAnsi="宋体" w:cs="Arial"/>
          <w:sz w:val="24"/>
        </w:rPr>
        <w:t>光合有效辐射表主要用于测400～700nm波长范围内的自然光的光合有效辐射，采用硅光探测器，通过一个400～700nm的光学滤光器，当有光照时，产生一个与入射辐射强度成正比的电压信号，并且其灵敏度与入射光的直射角度的余弦成正比。每台光合有效辐射表都给出各自的灵敏度，并可以直接读出单位为µmol/m</w:t>
      </w:r>
      <w:r>
        <w:rPr>
          <w:rFonts w:ascii="宋体" w:hAnsi="宋体" w:cs="Arial"/>
          <w:sz w:val="24"/>
          <w:vertAlign w:val="superscript"/>
        </w:rPr>
        <w:t>2</w:t>
      </w:r>
      <w:r>
        <w:rPr>
          <w:rFonts w:ascii="宋体" w:hAnsi="宋体" w:cs="Arial"/>
          <w:sz w:val="24"/>
        </w:rPr>
        <w:t>•s 的测量数值，使用简单，可直接与数字电压表或数据采集器相连，可在全天候条件下使用。广泛应用于农业气象、农作物生长、生态学的研究。</w:t>
      </w:r>
    </w:p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2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ascii="Arial" w:eastAsia="黑体" w:cs="Arial"/>
                <w:b/>
                <w:sz w:val="28"/>
                <w:szCs w:val="28"/>
              </w:rPr>
              <w:t>特点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1、本传感器体积小巧化设计，测量精度高，响应速度快，互换性好。</w:t>
      </w: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2、真正实现低成本、低价格、高性能。</w:t>
      </w: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3、</w:t>
      </w:r>
      <w:r>
        <w:rPr>
          <w:rFonts w:hint="eastAsia" w:ascii="宋体" w:hAnsi="宋体" w:cs="Arial"/>
          <w:sz w:val="24"/>
        </w:rPr>
        <w:t>法兰安装方式，简单方便</w:t>
      </w:r>
      <w:r>
        <w:rPr>
          <w:rFonts w:ascii="宋体" w:hAnsi="宋体" w:cs="Arial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4、性能可靠，确保正常工作，数据传输效率高。</w:t>
      </w: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5、价格低廉，适合中国国情。</w:t>
      </w:r>
    </w:p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3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eastAsia="黑体" w:cs="Arial"/>
                <w:b/>
                <w:sz w:val="28"/>
                <w:szCs w:val="28"/>
              </w:rPr>
              <w:t>适用范围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适用于农作物生长、光合潜力研究、旅游环保生态、温室控制、科研院校实验、太阳能研究等领域。</w:t>
      </w:r>
    </w:p>
    <w:p>
      <w:pPr>
        <w:spacing w:line="360" w:lineRule="auto"/>
        <w:ind w:left="-2" w:leftChars="-1" w:right="-334" w:rightChars="-159"/>
        <w:jc w:val="left"/>
        <w:rPr>
          <w:rFonts w:ascii="Arial" w:hAnsi="Arial" w:cs="Arial"/>
          <w:sz w:val="24"/>
        </w:rPr>
      </w:pP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4"/>
              </w:rPr>
            </w:pPr>
            <w:r>
              <w:rPr>
                <w:rFonts w:ascii="Arial" w:hAnsi="Arial" w:eastAsia="黑体" w:cs="Arial"/>
                <w:sz w:val="2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4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ascii="Arial" w:eastAsia="黑体" w:cs="Arial"/>
                <w:b/>
                <w:sz w:val="28"/>
                <w:szCs w:val="28"/>
              </w:rPr>
              <w:t>技术参数</w:t>
            </w:r>
          </w:p>
        </w:tc>
      </w:tr>
    </w:tbl>
    <w:p>
      <w:pPr>
        <w:spacing w:line="400" w:lineRule="exact"/>
        <w:rPr>
          <w:rFonts w:ascii="Arial" w:hAnsi="Arial" w:cs="Arial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测量范围</w:t>
      </w:r>
      <w:r>
        <w:rPr>
          <w:rFonts w:hint="eastAsia" w:ascii="宋体" w:hAnsi="宋体" w:cs="Arial"/>
          <w:sz w:val="24"/>
        </w:rPr>
        <w:t>：</w:t>
      </w:r>
      <w:r>
        <w:rPr>
          <w:rFonts w:ascii="宋体" w:hAnsi="宋体" w:cs="Arial"/>
          <w:sz w:val="24"/>
        </w:rPr>
        <w:t>0～2500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μmol/</w:t>
      </w:r>
      <w:r>
        <w:rPr>
          <w:rFonts w:hint="eastAsia" w:ascii="宋体" w:hAnsi="宋体" w:cs="Arial"/>
          <w:sz w:val="24"/>
        </w:rPr>
        <w:t>m</w:t>
      </w:r>
      <w:r>
        <w:rPr>
          <w:rFonts w:hint="eastAsia" w:ascii="宋体" w:hAnsi="宋体" w:cs="Arial"/>
          <w:sz w:val="24"/>
          <w:vertAlign w:val="superscript"/>
        </w:rPr>
        <w:t>2</w:t>
      </w:r>
      <w:r>
        <w:rPr>
          <w:rFonts w:ascii="宋体" w:hAnsi="宋体" w:cs="Arial"/>
          <w:sz w:val="24"/>
        </w:rPr>
        <w:t xml:space="preserve">•s   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反应时间</w:t>
      </w:r>
      <w:r>
        <w:rPr>
          <w:rFonts w:hint="eastAsia" w:ascii="宋体" w:hAnsi="宋体" w:cs="Arial"/>
          <w:sz w:val="24"/>
        </w:rPr>
        <w:t>：</w:t>
      </w:r>
      <w:r>
        <w:rPr>
          <w:rFonts w:ascii="宋体" w:hAnsi="宋体" w:cs="Arial"/>
          <w:sz w:val="24"/>
        </w:rPr>
        <w:t xml:space="preserve">10μs            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分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辨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率：1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μmol/</w:t>
      </w:r>
      <w:r>
        <w:rPr>
          <w:rFonts w:hint="eastAsia" w:ascii="宋体" w:hAnsi="宋体" w:cs="Arial"/>
          <w:sz w:val="24"/>
        </w:rPr>
        <w:t xml:space="preserve"> m</w:t>
      </w:r>
      <w:r>
        <w:rPr>
          <w:rFonts w:hint="eastAsia" w:ascii="宋体" w:hAnsi="宋体" w:cs="Arial"/>
          <w:sz w:val="24"/>
          <w:vertAlign w:val="superscript"/>
        </w:rPr>
        <w:t>2</w:t>
      </w:r>
      <w:r>
        <w:rPr>
          <w:rFonts w:ascii="宋体" w:hAnsi="宋体" w:cs="Arial"/>
          <w:sz w:val="24"/>
        </w:rPr>
        <w:t xml:space="preserve">•s  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响应光谱：400～700nm     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线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性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度：最大偏移1%         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稳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定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性</w:t>
      </w:r>
      <w:r>
        <w:rPr>
          <w:rFonts w:hint="eastAsia" w:ascii="宋体" w:hAnsi="宋体" w:cs="Arial"/>
          <w:sz w:val="24"/>
        </w:rPr>
        <w:t>：</w:t>
      </w:r>
      <w:r>
        <w:rPr>
          <w:rFonts w:ascii="宋体" w:hAnsi="宋体" w:cs="Arial"/>
          <w:sz w:val="24"/>
        </w:rPr>
        <w:t xml:space="preserve">一年内变化＜±2%   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工作环境：-30℃～75℃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sz w:val="24"/>
        </w:rPr>
      </w:pP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5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eastAsia="黑体" w:cs="Arial"/>
                <w:b/>
                <w:sz w:val="28"/>
                <w:szCs w:val="28"/>
              </w:rPr>
              <w:t>接线方法</w:t>
            </w:r>
          </w:p>
        </w:tc>
      </w:tr>
    </w:tbl>
    <w:p>
      <w:pPr>
        <w:spacing w:line="400" w:lineRule="exact"/>
        <w:jc w:val="left"/>
        <w:rPr>
          <w:rFonts w:ascii="Arial" w:hAnsi="Arial" w:cs="Arial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eastAsia="zh-CN"/>
        </w:rPr>
        <w:t>WN-108</w:t>
      </w:r>
      <w:r>
        <w:rPr>
          <w:rFonts w:hint="eastAsia" w:ascii="宋体" w:hAnsi="宋体" w:cs="Arial"/>
          <w:sz w:val="24"/>
        </w:rPr>
        <w:t>光合有效</w:t>
      </w:r>
      <w:r>
        <w:rPr>
          <w:rFonts w:ascii="宋体" w:hAnsi="宋体" w:cs="Arial"/>
          <w:sz w:val="24"/>
        </w:rPr>
        <w:t>传感器可连接各种载有差分输入的数据采集器，数据采集卡，远程数据采集模块等设备。</w:t>
      </w:r>
    </w:p>
    <w:p>
      <w:pPr>
        <w:spacing w:line="40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具体接线方式如下图所示</w:t>
      </w:r>
      <w:r>
        <w:rPr>
          <w:rFonts w:hint="eastAsia" w:ascii="宋体" w:hAnsi="宋体" w:cs="Arial"/>
          <w:sz w:val="24"/>
        </w:rPr>
        <w:t>：</w:t>
      </w:r>
    </w:p>
    <w:p>
      <w:pPr>
        <w:spacing w:line="400" w:lineRule="exact"/>
        <w:ind w:firstLine="420" w:firstLineChars="200"/>
        <w:jc w:val="left"/>
        <w:rPr>
          <w:rFonts w:ascii="宋体" w:hAnsi="宋体" w:cs="Arial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shd w:val="clear" w:color="auto" w:fill="000000"/>
          </w:tcPr>
          <w:p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44"/>
                <w:szCs w:val="44"/>
              </w:rPr>
              <w:br w:type="page"/>
            </w:r>
            <w:r>
              <w:rPr>
                <w:rFonts w:ascii="Arial" w:hAnsi="Arial" w:eastAsia="黑体" w:cs="Arial"/>
                <w:sz w:val="28"/>
                <w:szCs w:val="28"/>
              </w:rPr>
              <w:t>7</w:t>
            </w:r>
          </w:p>
        </w:tc>
        <w:tc>
          <w:tcPr>
            <w:tcW w:w="8054" w:type="dxa"/>
            <w:shd w:val="clear" w:color="auto" w:fill="C0C0C0"/>
          </w:tcPr>
          <w:p>
            <w:pPr>
              <w:jc w:val="left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hint="eastAsia" w:ascii="Arial" w:eastAsia="黑体" w:cs="Arial"/>
                <w:b/>
                <w:sz w:val="28"/>
                <w:szCs w:val="28"/>
              </w:rPr>
              <w:t>产品选型表</w:t>
            </w:r>
          </w:p>
        </w:tc>
      </w:tr>
    </w:tbl>
    <w:p>
      <w:pPr>
        <w:spacing w:line="400" w:lineRule="exact"/>
        <w:rPr>
          <w:rFonts w:ascii="Arial" w:hAnsi="Arial" w:cs="Arial"/>
          <w:sz w:val="24"/>
        </w:rPr>
      </w:pPr>
    </w:p>
    <w:tbl>
      <w:tblPr>
        <w:tblStyle w:val="6"/>
        <w:tblW w:w="8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000000" w:sz="4" w:space="0"/>
              <w:bottom w:val="single" w:color="auto" w:sz="4" w:space="0"/>
            </w:tcBorders>
            <w:shd w:val="clear" w:color="auto" w:fill="4472C4" w:themeFill="accent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供电方式</w:t>
            </w:r>
          </w:p>
        </w:tc>
        <w:tc>
          <w:tcPr>
            <w:tcW w:w="1345" w:type="dxa"/>
            <w:tcBorders>
              <w:top w:val="single" w:color="000000" w:sz="4" w:space="0"/>
              <w:bottom w:val="single" w:color="auto" w:sz="4" w:space="0"/>
            </w:tcBorders>
            <w:shd w:val="clear" w:color="auto" w:fill="4472C4" w:themeFill="accent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输出信号</w:t>
            </w:r>
          </w:p>
        </w:tc>
        <w:tc>
          <w:tcPr>
            <w:tcW w:w="1345" w:type="dxa"/>
            <w:tcBorders>
              <w:top w:val="single" w:color="000000" w:sz="4" w:space="0"/>
              <w:bottom w:val="single" w:color="auto" w:sz="4" w:space="0"/>
            </w:tcBorders>
            <w:shd w:val="clear" w:color="auto" w:fill="4472C4" w:themeFill="accent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电缆长度</w:t>
            </w:r>
          </w:p>
        </w:tc>
        <w:tc>
          <w:tcPr>
            <w:tcW w:w="4426" w:type="dxa"/>
            <w:tcBorders>
              <w:top w:val="single" w:color="000000" w:sz="4" w:space="0"/>
              <w:bottom w:val="single" w:color="auto" w:sz="4" w:space="0"/>
            </w:tcBorders>
            <w:shd w:val="clear" w:color="auto" w:fill="4472C4" w:themeFill="accent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V1-</w:t>
            </w:r>
          </w:p>
        </w:tc>
        <w:tc>
          <w:tcPr>
            <w:tcW w:w="1345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5V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V2-</w:t>
            </w: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12V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V3-</w:t>
            </w: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24V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V4-</w:t>
            </w:r>
          </w:p>
        </w:tc>
        <w:tc>
          <w:tcPr>
            <w:tcW w:w="1345" w:type="dxa"/>
            <w:tcBorders>
              <w:bottom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其他供电电压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000000" w:sz="4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V1-</w:t>
            </w: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0～2.5V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D1-</w:t>
            </w: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X-</w:t>
            </w:r>
          </w:p>
        </w:tc>
        <w:tc>
          <w:tcPr>
            <w:tcW w:w="1345" w:type="dxa"/>
            <w:tcBorders>
              <w:bottom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其他输出信号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000000" w:sz="4" w:space="0"/>
            </w:tcBorders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2M</w:t>
            </w: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标配2米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XM</w:t>
            </w:r>
          </w:p>
        </w:tc>
        <w:tc>
          <w:tcPr>
            <w:tcW w:w="4426" w:type="dxa"/>
            <w:shd w:val="clear" w:color="auto" w:fill="FFFFFF" w:themeFill="background1"/>
          </w:tcPr>
          <w:p>
            <w:pPr>
              <w:spacing w:line="360" w:lineRule="exact"/>
              <w:jc w:val="center"/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Arial"/>
                <w:b/>
                <w:bCs/>
                <w:color w:val="4472C4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其他长度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1" w:type="dxa"/>
            <w:gridSpan w:val="4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例如：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WN-108</w:t>
            </w:r>
            <w:r>
              <w:rPr>
                <w:rFonts w:ascii="宋体" w:hAnsi="宋体" w:cs="Arial"/>
                <w:sz w:val="24"/>
              </w:rPr>
              <w:t>-V23-</w:t>
            </w:r>
            <w:r>
              <w:rPr>
                <w:rFonts w:hint="eastAsia" w:ascii="宋体" w:hAnsi="宋体" w:cs="Arial"/>
                <w:sz w:val="24"/>
              </w:rPr>
              <w:t>D</w:t>
            </w:r>
            <w:r>
              <w:rPr>
                <w:rFonts w:ascii="宋体" w:hAnsi="宋体" w:cs="Arial"/>
                <w:sz w:val="24"/>
              </w:rPr>
              <w:t>1-2M表示：光合有效传感器，供电电压5～24V DC，输出信号</w:t>
            </w:r>
            <w:r>
              <w:rPr>
                <w:rFonts w:hint="eastAsia" w:ascii="宋体" w:hAnsi="宋体" w:cs="Arial"/>
                <w:sz w:val="24"/>
              </w:rPr>
              <w:t>RS485</w:t>
            </w:r>
            <w:r>
              <w:rPr>
                <w:rFonts w:ascii="宋体" w:hAnsi="宋体" w:cs="Arial"/>
                <w:sz w:val="24"/>
              </w:rPr>
              <w:t>，电缆长度2米</w:t>
            </w:r>
          </w:p>
        </w:tc>
      </w:tr>
    </w:tbl>
    <w:p>
      <w:pPr>
        <w:ind w:right="96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大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780" w:hanging="3780" w:hangingChars="1800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万诺（锦州）传感物联技术发展有限公司        电话：0416-3923899</w:t>
    </w:r>
  </w:p>
  <w:p>
    <w:pPr>
      <w:pStyle w:val="2"/>
      <w:ind w:left="3780" w:hanging="3780" w:hangingChars="1800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-341630</wp:posOffset>
          </wp:positionV>
          <wp:extent cx="844550" cy="652780"/>
          <wp:effectExtent l="0" t="0" r="6350" b="7620"/>
          <wp:wrapSquare wrapText="bothSides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5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E"/>
    <w:rsid w:val="00013ED2"/>
    <w:rsid w:val="000D46D1"/>
    <w:rsid w:val="00173B57"/>
    <w:rsid w:val="001D36E6"/>
    <w:rsid w:val="002435C3"/>
    <w:rsid w:val="003E6E40"/>
    <w:rsid w:val="00491C2C"/>
    <w:rsid w:val="00494358"/>
    <w:rsid w:val="005C3009"/>
    <w:rsid w:val="0064585C"/>
    <w:rsid w:val="0067106C"/>
    <w:rsid w:val="006A464D"/>
    <w:rsid w:val="00845778"/>
    <w:rsid w:val="009704C1"/>
    <w:rsid w:val="009A2454"/>
    <w:rsid w:val="009D4C35"/>
    <w:rsid w:val="00A01373"/>
    <w:rsid w:val="00A40273"/>
    <w:rsid w:val="00AC7D2C"/>
    <w:rsid w:val="00B96EC5"/>
    <w:rsid w:val="00BB26A2"/>
    <w:rsid w:val="00BC4903"/>
    <w:rsid w:val="00C46D5D"/>
    <w:rsid w:val="00DB391D"/>
    <w:rsid w:val="00DC23FE"/>
    <w:rsid w:val="00DC717E"/>
    <w:rsid w:val="00E464C7"/>
    <w:rsid w:val="00E66705"/>
    <w:rsid w:val="00E844DB"/>
    <w:rsid w:val="00EB6190"/>
    <w:rsid w:val="00EB756C"/>
    <w:rsid w:val="00F43CA6"/>
    <w:rsid w:val="00FE7016"/>
    <w:rsid w:val="01B42591"/>
    <w:rsid w:val="16BC41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D8C89-6E4B-4212-9DF6-645D6875F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1699</Characters>
  <Lines>14</Lines>
  <Paragraphs>3</Paragraphs>
  <TotalTime>0</TotalTime>
  <ScaleCrop>false</ScaleCrop>
  <LinksUpToDate>false</LinksUpToDate>
  <CharactersWithSpaces>1993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2019-01-11T07:56:00Z</dcterms:created>
  <dc:creator>PC-WangChao</dc:creator>
  <cp:lastModifiedBy>15164</cp:lastModifiedBy>
  <dcterms:modified xsi:type="dcterms:W3CDTF">2019-11-28T02:10:28Z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