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jc w:val="center"/>
        <w:rPr>
          <w:rFonts w:hint="eastAsia"/>
          <w:b/>
          <w:bCs/>
          <w:sz w:val="44"/>
          <w:szCs w:val="44"/>
          <w:lang w:val="en-US" w:eastAsia="zh-CN"/>
        </w:rPr>
      </w:pPr>
      <w:r>
        <w:rPr>
          <w:rFonts w:hint="eastAsia"/>
          <w:b/>
          <w:bCs/>
          <w:sz w:val="44"/>
          <w:szCs w:val="44"/>
          <w:lang w:val="en-US" w:eastAsia="zh-CN"/>
        </w:rPr>
        <w:t>QUV紫外老化试验箱</w:t>
      </w:r>
    </w:p>
    <w:p>
      <w:pPr>
        <w:rPr>
          <w:rFonts w:hint="eastAsia"/>
          <w:b/>
          <w:bCs/>
          <w:lang w:eastAsia="zh-CN"/>
        </w:rPr>
      </w:pPr>
      <w:r>
        <w:rPr>
          <w:rFonts w:hint="eastAsia"/>
          <w:b/>
          <w:bCs/>
          <w:lang w:val="en-US" w:eastAsia="zh-CN"/>
        </w:rPr>
        <w:t>QUV</w:t>
      </w:r>
      <w:r>
        <w:rPr>
          <w:rFonts w:hint="eastAsia"/>
          <w:b/>
          <w:bCs/>
          <w:lang w:eastAsia="zh-CN"/>
        </w:rPr>
        <w:t>紫外老化试验箱</w:t>
      </w:r>
    </w:p>
    <w:p>
      <w:pPr>
        <w:rPr>
          <w:rFonts w:hint="eastAsia"/>
          <w:lang w:eastAsia="zh-CN"/>
        </w:rPr>
      </w:pPr>
    </w:p>
    <w:p>
      <w:pPr>
        <w:rPr>
          <w:rFonts w:hint="default"/>
          <w:lang w:val="en-US" w:eastAsia="zh-CN"/>
        </w:rPr>
      </w:pPr>
      <w:r>
        <w:rPr>
          <w:rFonts w:hint="eastAsia"/>
          <w:lang w:eastAsia="zh-CN"/>
        </w:rPr>
        <w:t>紫外光是造成户外产品光降解作用的主要因素。</w:t>
      </w:r>
      <w:r>
        <w:rPr>
          <w:rFonts w:hint="eastAsia"/>
          <w:lang w:val="en-US" w:eastAsia="zh-CN"/>
        </w:rPr>
        <w:t>QUV的荧光紫外灯可模拟阳光中最重要的短波紫外光，再现光照引起的材料物理性能的老化，再现光照引起的材料物理性能的老化。</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right="0" w:firstLine="0"/>
        <w:jc w:val="both"/>
        <w:rPr>
          <w:rFonts w:hint="eastAsia" w:asciiTheme="minorHAnsi" w:hAnsiTheme="minorHAnsi" w:eastAsiaTheme="minorEastAsia" w:cstheme="minorBidi"/>
          <w:b/>
          <w:bCs/>
          <w:kern w:val="2"/>
          <w:sz w:val="21"/>
          <w:szCs w:val="24"/>
          <w:lang w:val="en-US" w:eastAsia="zh-CN" w:bidi="ar-SA"/>
        </w:rPr>
      </w:pPr>
      <w:r>
        <w:rPr>
          <w:rFonts w:hint="eastAsia" w:asciiTheme="minorHAnsi" w:hAnsiTheme="minorHAnsi" w:eastAsiaTheme="minorEastAsia" w:cstheme="minorBidi"/>
          <w:b/>
          <w:bCs/>
          <w:kern w:val="2"/>
          <w:sz w:val="21"/>
          <w:szCs w:val="24"/>
          <w:lang w:val="en-US" w:eastAsia="zh-CN" w:bidi="ar-SA"/>
        </w:rPr>
        <w:t>测试标准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通用　　　　　　ASTM G151、ASTM G154、JIS D0205、SAE J2020</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纺织品印刷油墨　AATCC TM186、ACFFA Guideline、ASTM D3424、ASTM F1945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680" w:right="0" w:hanging="1680" w:hangingChars="8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涂料　　　　　　ASTM D3794、ASTM D4587、FED-STD-141B、GM 9125P、ISO 11507、ISO 20340、M598-1990、NACE TM-01-84、NISSAN M0007、PrEN 927-6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粘合剂　　　　　ASTM C1184、ASTM C1442、ASTM D904、ASTM D5215、UNE 104-281-88</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1680" w:right="0" w:hanging="1680" w:hangingChars="80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塑料　　　　　　ISO 4892-3、ASTM D4329、ASTM D4674、ASTM D5208、ASTM D6662、ANSI C57.12.28、ANSI A14.5、DIN 53384、UNE 53.104</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屋面材料　　　　ANSI/RMAIPR-1、ASTM D4799、ASTM D4811</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HAnsi" w:hAnsiTheme="minorHAnsi" w:eastAsiaTheme="minorEastAsia" w:cstheme="minorBidi"/>
          <w:kern w:val="2"/>
          <w:sz w:val="21"/>
          <w:szCs w:val="24"/>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t>行业应用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Theme="minorHAnsi" w:hAnsiTheme="minorHAnsi" w:eastAsiaTheme="minorEastAsia" w:cstheme="minorBidi"/>
          <w:kern w:val="2"/>
          <w:sz w:val="21"/>
          <w:szCs w:val="24"/>
          <w:lang w:val="en-US" w:eastAsia="zh-CN" w:bidi="ar-SA"/>
        </w:rPr>
      </w:pPr>
      <w:r>
        <w:rPr>
          <w:rFonts w:hint="eastAsia" w:asciiTheme="minorHAnsi" w:hAnsiTheme="minorHAnsi" w:eastAsiaTheme="minorEastAsia" w:cstheme="minorBidi"/>
          <w:kern w:val="2"/>
          <w:sz w:val="21"/>
          <w:szCs w:val="24"/>
          <w:lang w:val="en-US" w:eastAsia="zh-CN" w:bidi="ar-SA"/>
        </w:rPr>
        <w:drawing>
          <wp:inline distT="0" distB="0" distL="114300" distR="114300">
            <wp:extent cx="5293995" cy="4224020"/>
            <wp:effectExtent l="0" t="0" r="1905" b="0"/>
            <wp:docPr id="1" name="图片 1" descr="1b410445-6457-40ba-8594-2e1f529ad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b410445-6457-40ba-8594-2e1f529ad510"/>
                    <pic:cNvPicPr>
                      <a:picLocks noChangeAspect="1"/>
                    </pic:cNvPicPr>
                  </pic:nvPicPr>
                  <pic:blipFill>
                    <a:blip r:embed="rId4"/>
                    <a:stretch>
                      <a:fillRect/>
                    </a:stretch>
                  </pic:blipFill>
                  <pic:spPr>
                    <a:xfrm>
                      <a:off x="0" y="0"/>
                      <a:ext cx="5293995" cy="4224020"/>
                    </a:xfrm>
                    <a:prstGeom prst="rect">
                      <a:avLst/>
                    </a:prstGeom>
                  </pic:spPr>
                </pic:pic>
              </a:graphicData>
            </a:graphic>
          </wp:inline>
        </w:drawing>
      </w:r>
    </w:p>
    <w:p>
      <w:pPr>
        <w:rPr>
          <w:rFonts w:hint="eastAsia" w:asciiTheme="minorHAnsi" w:hAnsiTheme="minorHAnsi" w:eastAsiaTheme="minorEastAsia" w:cstheme="minorBidi"/>
          <w:kern w:val="2"/>
          <w:sz w:val="21"/>
          <w:szCs w:val="24"/>
          <w:lang w:val="en-US" w:eastAsia="zh-CN" w:bidi="ar-SA"/>
        </w:rPr>
      </w:pPr>
    </w:p>
    <w:p>
      <w:pPr>
        <w:rPr>
          <w:rFonts w:hint="eastAsia"/>
          <w:b/>
          <w:bCs/>
          <w:lang w:eastAsia="zh-CN"/>
        </w:rPr>
      </w:pPr>
    </w:p>
    <w:p>
      <w:pPr>
        <w:rPr>
          <w:rFonts w:hint="eastAsia"/>
          <w:b/>
          <w:bCs/>
          <w:lang w:eastAsia="zh-CN"/>
        </w:rPr>
      </w:pPr>
    </w:p>
    <w:p>
      <w:pPr>
        <w:rPr>
          <w:rFonts w:hint="eastAsia"/>
          <w:b/>
          <w:bCs/>
          <w:lang w:eastAsia="zh-CN"/>
        </w:rPr>
      </w:pPr>
    </w:p>
    <w:p>
      <w:pPr>
        <w:rPr>
          <w:rFonts w:hint="eastAsia"/>
          <w:b/>
          <w:bCs/>
          <w:lang w:eastAsia="zh-CN"/>
        </w:rPr>
      </w:pPr>
      <w:r>
        <w:rPr>
          <w:rFonts w:hint="eastAsia"/>
          <w:b/>
          <w:bCs/>
          <w:lang w:eastAsia="zh-CN"/>
        </w:rPr>
        <w:t>紫外老化实验箱结构解析</w:t>
      </w:r>
    </w:p>
    <w:p>
      <w:pPr>
        <w:rPr>
          <w:rFonts w:hint="eastAsia"/>
          <w:lang w:eastAsia="zh-CN"/>
        </w:rPr>
      </w:pPr>
    </w:p>
    <w:p>
      <w:pPr>
        <w:numPr>
          <w:ilvl w:val="0"/>
          <w:numId w:val="1"/>
        </w:numPr>
        <w:rPr>
          <w:rFonts w:hint="default"/>
          <w:lang w:val="en-US" w:eastAsia="zh-CN"/>
        </w:rPr>
      </w:pPr>
      <w:r>
        <w:rPr>
          <w:rFonts w:hint="eastAsia"/>
          <w:lang w:val="en-US" w:eastAsia="zh-CN"/>
        </w:rPr>
        <w:t>QUV灯管：灯管的型号很多，简单介绍两款；UVA-340灯管可极好的模拟太阳光中的短波紫外光，即从365纳米到太阳光截止点295纳米的波长范围。UVB-313灯管发出的短波紫外光比通常照射在地球表面的太阳紫外线强烈，从而可以最大程度的加速材料老化。然后，改灯管可能会对某些材料造成不符合实际的破坏。UVB-313灯管主要用于质量控制和研发开发，或对耐候性极强的材料进行测试。</w:t>
      </w:r>
    </w:p>
    <w:p>
      <w:pPr>
        <w:numPr>
          <w:ilvl w:val="0"/>
          <w:numId w:val="0"/>
        </w:numPr>
        <w:rPr>
          <w:rFonts w:hint="default"/>
          <w:lang w:val="en-US" w:eastAsia="zh-CN"/>
        </w:rPr>
      </w:pPr>
    </w:p>
    <w:p>
      <w:pPr>
        <w:numPr>
          <w:ilvl w:val="0"/>
          <w:numId w:val="1"/>
        </w:numPr>
        <w:rPr>
          <w:rFonts w:hint="default"/>
          <w:lang w:val="en-US" w:eastAsia="zh-CN"/>
        </w:rPr>
      </w:pPr>
      <w:r>
        <w:rPr>
          <w:rFonts w:hint="eastAsia"/>
          <w:lang w:val="en-US" w:eastAsia="zh-CN"/>
        </w:rPr>
        <w:t>太阳眼辐照度控制系统：太阳眼系统是一种精确的闭环控制系统，通过反馈回路它可以自动维持设定光强。控制器可连续检测紫外光光强，并通过点解灯管的输出，来补偿因灯管老化或任何其他因素造成的光强变化。太阳眼辐照度控制系统测试结果的再现性和重复性比人工辐照度控制更好。</w:t>
      </w:r>
      <w:r>
        <w:rPr>
          <w:rFonts w:hint="eastAsia"/>
          <w:lang w:val="en-US" w:eastAsia="zh-CN"/>
        </w:rPr>
        <w:br w:type="textWrapping"/>
      </w:r>
    </w:p>
    <w:p>
      <w:pPr>
        <w:numPr>
          <w:ilvl w:val="0"/>
          <w:numId w:val="1"/>
        </w:numPr>
        <w:rPr>
          <w:rFonts w:hint="default"/>
          <w:lang w:val="en-US" w:eastAsia="zh-CN"/>
        </w:rPr>
      </w:pPr>
      <w:r>
        <w:rPr>
          <w:rFonts w:hint="eastAsia"/>
          <w:lang w:val="en-US" w:eastAsia="zh-CN"/>
        </w:rPr>
        <w:t>潮湿模拟系统：QUV提供两种潮湿模拟方法。应用最多的是冷凝方法，它是模拟户外潮湿侵蚀的最好方法。所有的QUV型号都可运行冷凝循环。因为有些应用条件也要求水喷淋以达到实际的效果，所以有些</w:t>
      </w:r>
      <w:r>
        <w:rPr>
          <w:rFonts w:hint="eastAsia"/>
          <w:lang w:val="en-US" w:eastAsia="zh-CN"/>
        </w:rPr>
        <w:tab/>
      </w:r>
      <w:r>
        <w:rPr>
          <w:rFonts w:hint="eastAsia"/>
          <w:lang w:val="en-US" w:eastAsia="zh-CN"/>
        </w:rPr>
        <w:t>QUV型号既可以运行冷凝循环又可以运行水喷淋循环。</w:t>
      </w:r>
      <w:r>
        <w:rPr>
          <w:rFonts w:hint="eastAsia"/>
          <w:lang w:val="en-US" w:eastAsia="zh-CN"/>
        </w:rPr>
        <w:br w:type="textWrapping"/>
      </w:r>
    </w:p>
    <w:p>
      <w:pPr>
        <w:numPr>
          <w:ilvl w:val="0"/>
          <w:numId w:val="1"/>
        </w:numPr>
        <w:rPr>
          <w:rFonts w:hint="default"/>
          <w:lang w:val="en-US" w:eastAsia="zh-CN"/>
        </w:rPr>
      </w:pPr>
      <w:r>
        <w:rPr>
          <w:rFonts w:hint="eastAsia"/>
          <w:lang w:val="en-US" w:eastAsia="zh-CN"/>
        </w:rPr>
        <w:t>多功能样品架：样品架操作简便，允许安装厚度不大于20mm的样品，并可进行快速装样。边界的样品固定环装置，不需要对样品进行精确的切割。另外，定制的样品架可以安装各种形状的样品，例如、；镜片，瓶子等三维样品。</w:t>
      </w:r>
    </w:p>
    <w:p>
      <w:pPr>
        <w:numPr>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5333365" cy="3819525"/>
            <wp:effectExtent l="0" t="0" r="63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5"/>
                    <a:stretch>
                      <a:fillRect/>
                    </a:stretch>
                  </pic:blipFill>
                  <pic:spPr>
                    <a:xfrm>
                      <a:off x="0" y="0"/>
                      <a:ext cx="5333365" cy="3819525"/>
                    </a:xfrm>
                    <a:prstGeom prst="rect">
                      <a:avLst/>
                    </a:prstGeom>
                    <a:noFill/>
                    <a:ln w="9525">
                      <a:noFill/>
                    </a:ln>
                  </pic:spPr>
                </pic:pic>
              </a:graphicData>
            </a:graphic>
          </wp:inline>
        </w:drawing>
      </w:r>
    </w:p>
    <w:p>
      <w:pPr>
        <w:numPr>
          <w:numId w:val="0"/>
        </w:numPr>
        <w:rPr>
          <w:rFonts w:hint="default"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681345" cy="4096385"/>
            <wp:effectExtent l="0" t="0" r="14605" b="18415"/>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5681345" cy="4096385"/>
                    </a:xfrm>
                    <a:prstGeom prst="rect">
                      <a:avLst/>
                    </a:prstGeom>
                    <a:noFill/>
                    <a:ln w="9525">
                      <a:noFill/>
                    </a:ln>
                  </pic:spPr>
                </pic:pic>
              </a:graphicData>
            </a:graphic>
          </wp:inline>
        </w:drawing>
      </w:r>
    </w:p>
    <w:p>
      <w:pPr>
        <w:numPr>
          <w:ilvl w:val="0"/>
          <w:numId w:val="0"/>
        </w:numPr>
        <w:rPr>
          <w:rFonts w:hint="eastAsia"/>
          <w:lang w:val="en-US" w:eastAsia="zh-CN"/>
        </w:rPr>
      </w:pPr>
    </w:p>
    <w:p>
      <w:pPr>
        <w:numPr>
          <w:ilvl w:val="0"/>
          <w:numId w:val="0"/>
        </w:numPr>
        <w:rPr>
          <w:rFonts w:hint="eastAsia"/>
          <w:b/>
          <w:bCs/>
          <w:lang w:val="en-US" w:eastAsia="zh-CN"/>
        </w:rPr>
      </w:pPr>
    </w:p>
    <w:p>
      <w:pPr>
        <w:numPr>
          <w:ilvl w:val="0"/>
          <w:numId w:val="0"/>
        </w:numPr>
        <w:rPr>
          <w:rFonts w:hint="eastAsia"/>
          <w:b/>
          <w:bCs/>
          <w:lang w:val="en-US" w:eastAsia="zh-CN"/>
        </w:rPr>
      </w:pPr>
    </w:p>
    <w:p>
      <w:pPr>
        <w:numPr>
          <w:ilvl w:val="0"/>
          <w:numId w:val="0"/>
        </w:numPr>
        <w:rPr>
          <w:rFonts w:hint="eastAsia"/>
          <w:b/>
          <w:bCs/>
          <w:lang w:val="en-US" w:eastAsia="zh-CN"/>
        </w:rPr>
      </w:pPr>
    </w:p>
    <w:p>
      <w:pPr>
        <w:numPr>
          <w:ilvl w:val="0"/>
          <w:numId w:val="0"/>
        </w:numPr>
        <w:rPr>
          <w:rFonts w:hint="eastAsia"/>
          <w:lang w:val="en-US" w:eastAsia="zh-CN"/>
        </w:rPr>
      </w:pPr>
      <w:r>
        <w:rPr>
          <w:rFonts w:hint="eastAsia"/>
          <w:b/>
          <w:bCs/>
          <w:lang w:val="en-US" w:eastAsia="zh-CN"/>
        </w:rPr>
        <w:t>QUV紫外老化机型号及功能</w:t>
      </w:r>
      <w:r>
        <w:rPr>
          <w:rFonts w:hint="eastAsia"/>
          <w:lang w:val="en-US" w:eastAsia="zh-CN"/>
        </w:rPr>
        <w:br w:type="textWrapping"/>
      </w:r>
    </w:p>
    <w:p>
      <w:pPr>
        <w:numPr>
          <w:ilvl w:val="0"/>
          <w:numId w:val="2"/>
        </w:numPr>
        <w:rPr>
          <w:rFonts w:hint="eastAsia"/>
          <w:lang w:val="en-US" w:eastAsia="zh-CN"/>
        </w:rPr>
      </w:pPr>
      <w:r>
        <w:rPr>
          <w:rFonts w:hint="eastAsia"/>
          <w:lang w:val="en-US" w:eastAsia="zh-CN"/>
        </w:rPr>
        <w:t>QUV/se老化机：*太阳眼辐照度控制  *冷凝  *ISO校准</w:t>
      </w:r>
      <w:r>
        <w:rPr>
          <w:rFonts w:hint="eastAsia"/>
          <w:lang w:val="en-US" w:eastAsia="zh-CN"/>
        </w:rPr>
        <w:br w:type="textWrapping"/>
      </w:r>
    </w:p>
    <w:p>
      <w:pPr>
        <w:numPr>
          <w:ilvl w:val="0"/>
          <w:numId w:val="2"/>
        </w:numPr>
        <w:rPr>
          <w:rFonts w:hint="default"/>
          <w:lang w:val="en-US" w:eastAsia="zh-CN"/>
        </w:rPr>
      </w:pPr>
      <w:r>
        <w:rPr>
          <w:rFonts w:hint="eastAsia"/>
          <w:lang w:val="en-US" w:eastAsia="zh-CN"/>
        </w:rPr>
        <w:t>QUV/spray老化机：*太阳眼辐照度控制  *冷凝  *水喷淋  *ISO校准</w:t>
      </w:r>
      <w:r>
        <w:rPr>
          <w:rFonts w:hint="eastAsia"/>
          <w:lang w:val="en-US" w:eastAsia="zh-CN"/>
        </w:rPr>
        <w:br w:type="textWrapping"/>
      </w:r>
    </w:p>
    <w:p>
      <w:pPr>
        <w:numPr>
          <w:ilvl w:val="0"/>
          <w:numId w:val="2"/>
        </w:numPr>
        <w:rPr>
          <w:rFonts w:hint="default"/>
          <w:lang w:val="en-US" w:eastAsia="zh-CN"/>
        </w:rPr>
      </w:pPr>
      <w:r>
        <w:rPr>
          <w:rFonts w:hint="eastAsia"/>
          <w:lang w:val="en-US" w:eastAsia="zh-CN"/>
        </w:rPr>
        <w:t>QUV/basic老化机：*适用于对比测试  *经济的  *人工辐照度控制  *无法校准</w:t>
      </w:r>
      <w:r>
        <w:rPr>
          <w:rFonts w:hint="eastAsia"/>
          <w:lang w:val="en-US" w:eastAsia="zh-CN"/>
        </w:rPr>
        <w:br w:type="textWrapping"/>
      </w:r>
    </w:p>
    <w:p>
      <w:pPr>
        <w:numPr>
          <w:ilvl w:val="0"/>
          <w:numId w:val="2"/>
        </w:numPr>
        <w:rPr>
          <w:rFonts w:hint="default"/>
          <w:lang w:val="en-US" w:eastAsia="zh-CN"/>
        </w:rPr>
      </w:pPr>
      <w:r>
        <w:rPr>
          <w:rFonts w:hint="eastAsia"/>
          <w:lang w:val="en-US" w:eastAsia="zh-CN"/>
        </w:rPr>
        <w:t>QUV/CW老化机：*太阳眼辐照度控制  *冷白荧光灯  *室内产品耐光性测试  *ISO校准</w:t>
      </w:r>
    </w:p>
    <w:p>
      <w:pPr>
        <w:numPr>
          <w:numId w:val="0"/>
        </w:numPr>
        <w:rPr>
          <w:rFonts w:hint="default"/>
          <w:lang w:val="en-US" w:eastAsia="zh-CN"/>
        </w:rPr>
      </w:pPr>
      <w:r>
        <w:rPr>
          <w:rFonts w:ascii="宋体" w:hAnsi="宋体" w:eastAsia="宋体" w:cs="宋体"/>
          <w:sz w:val="24"/>
          <w:szCs w:val="24"/>
        </w:rPr>
        <w:drawing>
          <wp:inline distT="0" distB="0" distL="114300" distR="114300">
            <wp:extent cx="6076950" cy="438150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7"/>
                    <a:stretch>
                      <a:fillRect/>
                    </a:stretch>
                  </pic:blipFill>
                  <pic:spPr>
                    <a:xfrm>
                      <a:off x="0" y="0"/>
                      <a:ext cx="6076950" cy="4381500"/>
                    </a:xfrm>
                    <a:prstGeom prst="rect">
                      <a:avLst/>
                    </a:prstGeom>
                    <a:noFill/>
                    <a:ln w="9525">
                      <a:noFill/>
                    </a:ln>
                  </pic:spPr>
                </pic:pic>
              </a:graphicData>
            </a:graphic>
          </wp:inline>
        </w:drawing>
      </w:r>
      <w:bookmarkStart w:id="0" w:name="_GoBack"/>
      <w:bookmarkEnd w:id="0"/>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eastAsia="宋体"/>
          <w:b/>
          <w:bCs/>
          <w:lang w:eastAsia="zh-CN"/>
        </w:rPr>
      </w:pPr>
      <w:r>
        <w:rPr>
          <w:rFonts w:hint="eastAsia"/>
          <w:b/>
          <w:bCs/>
        </w:rPr>
        <w:t>QUV老化机产品参数</w:t>
      </w:r>
      <w:r>
        <w:rPr>
          <w:rFonts w:hint="eastAsia"/>
          <w:b/>
          <w:bCs/>
          <w:lang w:eastAsia="zh-CN"/>
        </w:rPr>
        <w:t>：</w:t>
      </w:r>
    </w:p>
    <w:tbl>
      <w:tblPr>
        <w:tblStyle w:val="4"/>
        <w:tblW w:w="8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2"/>
        <w:gridCol w:w="1751"/>
        <w:gridCol w:w="1752"/>
        <w:gridCol w:w="1752"/>
        <w:gridCol w:w="1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 w:hRule="atLeast"/>
        </w:trPr>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型号</w:t>
            </w:r>
          </w:p>
        </w:tc>
        <w:tc>
          <w:tcPr>
            <w:tcW w:w="1751"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QUV/se</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QUV/Spray</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QUV/basic</w:t>
            </w:r>
          </w:p>
        </w:tc>
        <w:tc>
          <w:tcPr>
            <w:tcW w:w="1753"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QUV/cw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eastAsia="宋体"/>
                <w:vertAlign w:val="baseline"/>
                <w:lang w:val="en-US" w:eastAsia="zh-CN"/>
              </w:rPr>
            </w:pPr>
            <w:r>
              <w:rPr>
                <w:rFonts w:hint="eastAsia"/>
                <w:vertAlign w:val="baseline"/>
                <w:lang w:val="en-US" w:eastAsia="zh-CN"/>
              </w:rPr>
              <w:t>黑板温度</w:t>
            </w:r>
          </w:p>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光照循环</w:t>
            </w:r>
          </w:p>
          <w:p>
            <w:pPr>
              <w:keepNext w:val="0"/>
              <w:keepLines w:val="0"/>
              <w:pageBreakBefore w:val="0"/>
              <w:widowControl w:val="0"/>
              <w:kinsoku/>
              <w:wordWrap/>
              <w:overflowPunct/>
              <w:topLinePunct w:val="0"/>
              <w:autoSpaceDE/>
              <w:autoSpaceDN/>
              <w:bidi w:val="0"/>
              <w:adjustRightInd/>
              <w:snapToGrid/>
              <w:textAlignment w:val="auto"/>
              <w:rPr>
                <w:rFonts w:hint="eastAsia" w:eastAsia="宋体"/>
                <w:vertAlign w:val="baseline"/>
                <w:lang w:eastAsia="zh-CN"/>
              </w:rPr>
            </w:pPr>
            <w:r>
              <w:rPr>
                <w:rFonts w:hint="eastAsia"/>
                <w:vertAlign w:val="baseline"/>
                <w:lang w:eastAsia="zh-CN"/>
              </w:rPr>
              <w:t>冷凝循环</w:t>
            </w:r>
          </w:p>
        </w:tc>
        <w:tc>
          <w:tcPr>
            <w:tcW w:w="1751"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p>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4</w:t>
            </w:r>
            <w:r>
              <w:rPr>
                <w:rFonts w:hint="eastAsia"/>
                <w:vertAlign w:val="baseline"/>
                <w:lang w:val="en-US" w:eastAsia="zh-CN"/>
              </w:rPr>
              <w:t>5</w:t>
            </w:r>
            <w:r>
              <w:rPr>
                <w:rFonts w:hint="eastAsia"/>
                <w:vertAlign w:val="baseline"/>
              </w:rPr>
              <w:t>-80</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vertAlign w:val="baseline"/>
                <w:lang w:val="en-US" w:eastAsia="zh-CN"/>
              </w:rPr>
            </w:pPr>
            <w:r>
              <w:rPr>
                <w:rFonts w:hint="eastAsia"/>
                <w:vertAlign w:val="baseline"/>
                <w:lang w:val="en-US" w:eastAsia="zh-CN"/>
              </w:rPr>
              <w:t>40-60</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p>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45-80</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vertAlign w:val="baseline"/>
                <w:lang w:val="en-US" w:eastAsia="zh-CN"/>
              </w:rPr>
            </w:pPr>
            <w:r>
              <w:rPr>
                <w:rFonts w:hint="eastAsia"/>
                <w:vertAlign w:val="baseline"/>
                <w:lang w:val="en-US" w:eastAsia="zh-CN"/>
              </w:rPr>
              <w:t>40-60</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p>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45-80</w:t>
            </w:r>
          </w:p>
          <w:p>
            <w:pPr>
              <w:keepNext w:val="0"/>
              <w:keepLines w:val="0"/>
              <w:pageBreakBefore w:val="0"/>
              <w:widowControl w:val="0"/>
              <w:kinsoku/>
              <w:wordWrap/>
              <w:overflowPunct/>
              <w:topLinePunct w:val="0"/>
              <w:autoSpaceDE/>
              <w:autoSpaceDN/>
              <w:bidi w:val="0"/>
              <w:adjustRightInd/>
              <w:snapToGrid/>
              <w:textAlignment w:val="auto"/>
              <w:rPr>
                <w:rFonts w:hint="default" w:eastAsia="宋体"/>
                <w:vertAlign w:val="baseline"/>
                <w:lang w:val="en-US" w:eastAsia="zh-CN"/>
              </w:rPr>
            </w:pPr>
            <w:r>
              <w:rPr>
                <w:rFonts w:hint="eastAsia"/>
                <w:vertAlign w:val="baseline"/>
                <w:lang w:val="en-US" w:eastAsia="zh-CN"/>
              </w:rPr>
              <w:t>40-60</w:t>
            </w:r>
          </w:p>
        </w:tc>
        <w:tc>
          <w:tcPr>
            <w:tcW w:w="1753"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eastAsia="宋体"/>
                <w:vertAlign w:val="baseline"/>
                <w:lang w:val="en-US" w:eastAsia="zh-CN"/>
              </w:rPr>
            </w:pPr>
          </w:p>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lang w:val="en-US" w:eastAsia="zh-CN"/>
              </w:rPr>
            </w:pPr>
            <w:r>
              <w:rPr>
                <w:rFonts w:hint="eastAsia"/>
                <w:vertAlign w:val="baseline"/>
                <w:lang w:val="en-US" w:eastAsia="zh-CN"/>
              </w:rPr>
              <w:t>35-80</w:t>
            </w:r>
          </w:p>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eastAsia="宋体"/>
                <w:vertAlign w:val="baseline"/>
                <w:lang w:eastAsia="zh-CN"/>
              </w:rPr>
            </w:pPr>
            <w:r>
              <w:rPr>
                <w:rFonts w:hint="eastAsia"/>
                <w:vertAlign w:val="baseline"/>
                <w:lang w:eastAsia="zh-CN"/>
              </w:rPr>
              <w:t>样品容量</w:t>
            </w:r>
          </w:p>
        </w:tc>
        <w:tc>
          <w:tcPr>
            <w:tcW w:w="1751"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eastAsia"/>
                <w:vertAlign w:val="baseline"/>
                <w:lang w:val="en-US" w:eastAsia="zh-CN"/>
              </w:rPr>
              <w:t>48块样品（75X150毫米）</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default"/>
                <w:vertAlign w:val="baseline"/>
                <w:lang w:val="en-US" w:eastAsia="zh-CN"/>
              </w:rPr>
              <w:t>48块样品（75X150毫米）</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48块样品（75X150毫米）</w:t>
            </w:r>
          </w:p>
        </w:tc>
        <w:tc>
          <w:tcPr>
            <w:tcW w:w="1753"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rPr>
            </w:pPr>
            <w:r>
              <w:rPr>
                <w:rFonts w:hint="eastAsia"/>
                <w:vertAlign w:val="baseline"/>
              </w:rPr>
              <w:t>48块样品（75X150毫米）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eastAsia"/>
                <w:vertAlign w:val="baseline"/>
                <w:lang w:val="en-US" w:eastAsia="zh-CN"/>
              </w:rPr>
              <w:t>进水压力</w:t>
            </w:r>
          </w:p>
        </w:tc>
        <w:tc>
          <w:tcPr>
            <w:tcW w:w="1751"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lang w:val="en-US" w:eastAsia="zh-CN"/>
              </w:rPr>
            </w:pPr>
            <w:r>
              <w:rPr>
                <w:rFonts w:hint="eastAsia"/>
                <w:vertAlign w:val="baseline"/>
                <w:lang w:val="en-US" w:eastAsia="zh-CN"/>
              </w:rPr>
              <w:t>0.2-5.5bar</w:t>
            </w:r>
          </w:p>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eastAsia"/>
                <w:vertAlign w:val="baseline"/>
                <w:lang w:val="en-US" w:eastAsia="zh-CN"/>
              </w:rPr>
              <w:t>(2-80 psi)</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lang w:val="en-US" w:eastAsia="zh-CN"/>
              </w:rPr>
            </w:pPr>
            <w:r>
              <w:rPr>
                <w:rFonts w:hint="eastAsia"/>
                <w:vertAlign w:val="baseline"/>
                <w:lang w:val="en-US" w:eastAsia="zh-CN"/>
              </w:rPr>
              <w:t>0.2-5.5bar</w:t>
            </w:r>
          </w:p>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eastAsia"/>
                <w:vertAlign w:val="baseline"/>
                <w:lang w:val="en-US" w:eastAsia="zh-CN"/>
              </w:rPr>
              <w:t>(2-80 psi)</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lang w:val="en-US" w:eastAsia="zh-CN"/>
              </w:rPr>
            </w:pPr>
            <w:r>
              <w:rPr>
                <w:rFonts w:hint="eastAsia"/>
                <w:vertAlign w:val="baseline"/>
                <w:lang w:val="en-US" w:eastAsia="zh-CN"/>
              </w:rPr>
              <w:t>0.2-5.5bar</w:t>
            </w:r>
          </w:p>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eastAsia"/>
                <w:vertAlign w:val="baseline"/>
                <w:lang w:val="en-US" w:eastAsia="zh-CN"/>
              </w:rPr>
              <w:t>(40-80psi)</w:t>
            </w:r>
          </w:p>
        </w:tc>
        <w:tc>
          <w:tcPr>
            <w:tcW w:w="1753"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eastAsia="宋体"/>
                <w:vertAlign w:val="baseline"/>
                <w:lang w:val="en-US" w:eastAsia="zh-CN"/>
              </w:rPr>
            </w:pPr>
            <w:r>
              <w:rPr>
                <w:rFonts w:hint="eastAsia"/>
                <w:vertAlign w:val="baseline"/>
                <w:lang w:val="en-US" w:eastAsia="zh-CN"/>
              </w:rPr>
              <w:t>0.2-5.5bar</w:t>
            </w:r>
            <w:r>
              <w:rPr>
                <w:rFonts w:hint="eastAsia"/>
                <w:vertAlign w:val="baseline"/>
                <w:lang w:val="en-US" w:eastAsia="zh-CN"/>
              </w:rPr>
              <w:br w:type="textWrapping"/>
            </w:r>
            <w:r>
              <w:rPr>
                <w:rFonts w:hint="eastAsia"/>
                <w:vertAlign w:val="baseline"/>
                <w:lang w:val="en-US" w:eastAsia="zh-CN"/>
              </w:rPr>
              <w:t>(2-80psi)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lang w:val="en-US" w:eastAsia="zh-CN"/>
              </w:rPr>
            </w:pPr>
            <w:r>
              <w:rPr>
                <w:rFonts w:hint="eastAsia"/>
                <w:vertAlign w:val="baseline"/>
                <w:lang w:val="en-US" w:eastAsia="zh-CN"/>
              </w:rPr>
              <w:t>冷凝（自来水或去离子水）</w:t>
            </w:r>
          </w:p>
        </w:tc>
        <w:tc>
          <w:tcPr>
            <w:tcW w:w="1751"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lang w:val="en-US" w:eastAsia="zh-CN"/>
              </w:rPr>
            </w:pPr>
            <w:r>
              <w:rPr>
                <w:rFonts w:hint="eastAsia"/>
                <w:vertAlign w:val="baseline"/>
                <w:lang w:val="en-US" w:eastAsia="zh-CN"/>
              </w:rPr>
              <w:t>8公升/天</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default"/>
                <w:vertAlign w:val="baseline"/>
                <w:lang w:val="en-US" w:eastAsia="zh-CN"/>
              </w:rPr>
              <w:t>8公升/天</w:t>
            </w:r>
          </w:p>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default"/>
                <w:vertAlign w:val="baseline"/>
                <w:lang w:val="en-US" w:eastAsia="zh-CN"/>
              </w:rPr>
              <w:t>7公升/分钟</w:t>
            </w:r>
          </w:p>
        </w:tc>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lang w:val="en-US" w:eastAsia="zh-CN"/>
              </w:rPr>
            </w:pPr>
            <w:r>
              <w:rPr>
                <w:rFonts w:hint="eastAsia"/>
                <w:vertAlign w:val="baseline"/>
                <w:lang w:val="en-US" w:eastAsia="zh-CN"/>
              </w:rPr>
              <w:t>8公升/天</w:t>
            </w:r>
          </w:p>
        </w:tc>
        <w:tc>
          <w:tcPr>
            <w:tcW w:w="1753"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eastAsia"/>
                <w:vertAlign w:val="baseline"/>
                <w:lang w:val="en-US" w:eastAsia="zh-CN"/>
              </w:rPr>
            </w:pPr>
            <w:r>
              <w:rPr>
                <w:rFonts w:hint="eastAsia"/>
                <w:vertAlign w:val="baseline"/>
                <w:lang w:val="en-US" w:eastAsia="zh-CN"/>
              </w:rPr>
              <w:t>不需要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eastAsia"/>
                <w:vertAlign w:val="baseline"/>
                <w:lang w:val="en-US" w:eastAsia="zh-CN"/>
              </w:rPr>
              <w:t>尺寸</w:t>
            </w:r>
          </w:p>
        </w:tc>
        <w:tc>
          <w:tcPr>
            <w:tcW w:w="7008" w:type="dxa"/>
            <w:gridSpan w:val="4"/>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eastAsia"/>
                <w:vertAlign w:val="baseline"/>
                <w:lang w:val="en-US" w:eastAsia="zh-CN"/>
              </w:rPr>
            </w:pPr>
            <w:r>
              <w:rPr>
                <w:rFonts w:hint="eastAsia"/>
                <w:vertAlign w:val="baseline"/>
                <w:lang w:val="en-US" w:eastAsia="zh-CN"/>
              </w:rPr>
              <w:t>137x135x53cm</w:t>
            </w:r>
          </w:p>
          <w:p>
            <w:pPr>
              <w:keepNext w:val="0"/>
              <w:keepLines w:val="0"/>
              <w:pageBreakBefore w:val="0"/>
              <w:widowControl w:val="0"/>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(54x53x21in)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5" w:hRule="atLeast"/>
        </w:trPr>
        <w:tc>
          <w:tcPr>
            <w:tcW w:w="1752" w:type="dxa"/>
            <w:noWrap w:val="0"/>
            <w:vAlign w:val="top"/>
          </w:tcPr>
          <w:p>
            <w:pPr>
              <w:keepNext w:val="0"/>
              <w:keepLines w:val="0"/>
              <w:pageBreakBefore w:val="0"/>
              <w:widowControl w:val="0"/>
              <w:kinsoku/>
              <w:wordWrap/>
              <w:overflowPunct/>
              <w:topLinePunct w:val="0"/>
              <w:autoSpaceDE/>
              <w:autoSpaceDN/>
              <w:bidi w:val="0"/>
              <w:adjustRightInd/>
              <w:snapToGrid/>
              <w:textAlignment w:val="auto"/>
              <w:rPr>
                <w:rFonts w:hint="default"/>
                <w:vertAlign w:val="baseline"/>
                <w:lang w:val="en-US" w:eastAsia="zh-CN"/>
              </w:rPr>
            </w:pPr>
            <w:r>
              <w:rPr>
                <w:rFonts w:hint="eastAsia"/>
                <w:vertAlign w:val="baseline"/>
                <w:lang w:val="en-US" w:eastAsia="zh-CN"/>
              </w:rPr>
              <w:t>重量</w:t>
            </w:r>
          </w:p>
        </w:tc>
        <w:tc>
          <w:tcPr>
            <w:tcW w:w="7008" w:type="dxa"/>
            <w:gridSpan w:val="4"/>
            <w:noWrap w:val="0"/>
            <w:vAlign w:val="top"/>
          </w:tcPr>
          <w:p>
            <w:pPr>
              <w:keepNext w:val="0"/>
              <w:keepLines w:val="0"/>
              <w:pageBreakBefore w:val="0"/>
              <w:widowControl w:val="0"/>
              <w:kinsoku/>
              <w:wordWrap/>
              <w:overflowPunct/>
              <w:topLinePunct w:val="0"/>
              <w:autoSpaceDE/>
              <w:autoSpaceDN/>
              <w:bidi w:val="0"/>
              <w:adjustRightInd/>
              <w:snapToGrid/>
              <w:jc w:val="center"/>
              <w:textAlignment w:val="auto"/>
              <w:rPr>
                <w:rFonts w:hint="default"/>
                <w:vertAlign w:val="baseline"/>
                <w:lang w:val="en-US" w:eastAsia="zh-CN"/>
              </w:rPr>
            </w:pPr>
            <w:r>
              <w:rPr>
                <w:rFonts w:hint="eastAsia"/>
                <w:vertAlign w:val="baseline"/>
                <w:lang w:val="en-US" w:eastAsia="zh-CN"/>
              </w:rPr>
              <w:t>136kg(300lbs)</w:t>
            </w:r>
          </w:p>
        </w:tc>
      </w:tr>
    </w:tbl>
    <w:p>
      <w:pPr>
        <w:numPr>
          <w:ilvl w:val="0"/>
          <w:numId w:val="0"/>
        </w:numPr>
        <w:rPr>
          <w:rFonts w:hint="default"/>
          <w:lang w:val="en-US" w:eastAsia="zh-CN"/>
        </w:rPr>
      </w:pPr>
    </w:p>
    <w:p>
      <w:pPr>
        <w:numPr>
          <w:ilvl w:val="0"/>
          <w:numId w:val="0"/>
        </w:numPr>
        <w:rPr>
          <w:rFonts w:hint="default"/>
          <w:lang w:val="en-US" w:eastAsia="zh-CN"/>
        </w:rPr>
      </w:pPr>
    </w:p>
    <w:p>
      <w:pPr>
        <w:jc w:val="both"/>
        <w:rPr>
          <w:rFonts w:hint="default"/>
          <w:b/>
          <w:bCs/>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67BF57"/>
    <w:multiLevelType w:val="singleLevel"/>
    <w:tmpl w:val="8167BF57"/>
    <w:lvl w:ilvl="0" w:tentative="0">
      <w:start w:val="1"/>
      <w:numFmt w:val="decimal"/>
      <w:lvlText w:val="%1."/>
      <w:lvlJc w:val="left"/>
      <w:pPr>
        <w:tabs>
          <w:tab w:val="left" w:pos="312"/>
        </w:tabs>
      </w:pPr>
    </w:lvl>
  </w:abstractNum>
  <w:abstractNum w:abstractNumId="1">
    <w:nsid w:val="42816813"/>
    <w:multiLevelType w:val="singleLevel"/>
    <w:tmpl w:val="42816813"/>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9C36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2019-09-18T01:06:32Z</dcterms:created>
  <dc:creator>Administrator</dc:creator>
  <cp:lastModifiedBy>7Rose全球旅拍客服经理小志</cp:lastModifiedBy>
  <dcterms:modified xsi:type="dcterms:W3CDTF">2019-09-18T01:27:02Z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