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3"/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</w:rPr>
        <w:t>EClassical 3100液相色谱仪</w:t>
      </w:r>
    </w:p>
    <w:p>
      <w:pPr>
        <w:spacing w:before="323"/>
        <w:jc w:val="center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79115" cy="2315845"/>
            <wp:effectExtent l="0" t="0" r="6985" b="825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ind w:left="338"/>
        <w:rPr>
          <w:rFonts w:ascii="宋体" w:hAnsi="宋体" w:eastAsia="宋体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theme="majorEastAsia"/>
          <w:b/>
          <w:color w:val="FFFFFF"/>
          <w:sz w:val="28"/>
          <w:szCs w:val="28"/>
          <w:highlight w:val="blue"/>
          <w:lang w:eastAsia="zh-CN"/>
        </w:rPr>
        <w:t>产品简介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 w:bidi="en-US"/>
        </w:rPr>
        <w:t xml:space="preserve"> 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sz w:val="24"/>
          <w:szCs w:val="24"/>
          <w:shd w:val="clear" w:fill="FFFFFF"/>
        </w:rPr>
        <w:t>崭新的外观设计：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聘请国内一流的工业设计团队，延续公司P230/P230II产品之经典设计，引入高端时尚的现代元素，使得EClassical 3100简洁美观、大气时尚。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 弧形控制面板与双色硅胶按键完美结合，提供最佳的操作手感及较强的的耐候性；色彩与外形相得益彰，尽显艺术之美。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 根据各个单元仪器功能与高度不同，设计相包容的大小两种控制面板，使整机系统极具层次感，错落有致。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 高清VFD显示屏及状态指示灯，可实时观察仪器信息及工作状态。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 显示屏采用7层金属黑钻王贴膜保护，厚度仅0.05mm，耐磨系数达H3，字体清晰柔和，达到最佳视觉效果。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 自动进样器全新的开门方式及全景窗口，方便客户实时观察样品分析情况。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42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                                 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sz w:val="24"/>
          <w:szCs w:val="24"/>
          <w:shd w:val="clear" w:fill="FFFFFF"/>
        </w:rPr>
        <w:t>完善的功能、稳定的通讯控制和卓越的仪器性能：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●UV3100紫外-可见检测器优化了消二级光谱功能，由机械控制变为嵌入式软件直接控制，大大提高了可靠性；改善了氘灯及氘灯电源，使得氘灯能量稳定输出。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●先进的光路系统机械结构设计，使光栅转动更稳定可靠；合理分布检测器内部布局，提高了氘灯的散热效率，以及全新的检测池结构设计，大大降低了基线漂移现象，在最短时间内使仪器达到稳定。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●设计了隔离型的DA输出模块，使得模拟信号输出更稳定，作为选配模块，可以满足客户馏分收集特殊需求。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●标准通讯方式采用适用性更好的USB接口，通过选择优质的进口USB芯片和采用先进的磁电/光电隔离技术保证仪器稳定；保留RS232通讯接口、预留LAN接口，为客户提供更加灵活的选择。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●单元仪器之间采用技术成熟且灵活的RS-485通讯，并使用雪崩二级管，保证通讯可靠性，提高仪器控制稳定性。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W3100色谱工作站（软件）延续了操作简单、使用方便的一贯风格，采用了动态启动界面、优化了主界面设计和底层仪器控制通讯协议，使得上位机与单元仪器模块之间软、硬件通讯更加通畅，可稳定地实时反馈控制各单元模块的主要状态及参数。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P3100高压恒流泵采用2mm超短行程串联输液技术，一体式泵头设计，最大限度的降低脉动，在不采用脉动阻尼器的情况下，仍能保证输液稳定性；步进电机细分控制技术，提高了低流速下的准确性；采用一体式压力变送器，死体积极小；采用“先进先出”和高效的混合器设计，保证了可靠梯度洗脱性能，几乎没有延迟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●O3100柱温箱采用交流电相位调制方式，结合温度校准曲线及单点校正，确保设定范围内温度的准确性及重复性，升温稳定时间缩短到30分钟以内。 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sz w:val="24"/>
          <w:szCs w:val="24"/>
          <w:shd w:val="clear" w:fill="FFFFFF"/>
        </w:rPr>
        <w:t>人性化的系统设计：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●W3100色谱数据工作站进一步完善了序列分析功能，配置S3100自动进样器可极大提高整套仪器的自动化程度及客户分析工作效率。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●全新的进样阀及混合器支架设计，可360度旋转，满足客户对进样角度的不同需求；全新设计的管束，可方便的固定包括1/8”流动相管路在内的各种管路。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●合理的检测池出入口位置与整套系统协调统一，既方便管路连接，又减少柱外效应。              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●通过控制面板的指示灯状态、仪器的蜂鸣声、软件的诊断功能等多级的故障提示与报警功能，操作人员可及时获知仪器状态，保证人机安全。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sz w:val="24"/>
          <w:szCs w:val="24"/>
          <w:shd w:val="clear" w:fill="FFFFFF"/>
        </w:rPr>
        <w:t>多元化的系统配置：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●积木式的单元模块，可根据客户需求灵活实现等度、二元高压梯度、四元低压梯度系统配置；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●3100色谱柱温箱，S3100自动进样器，M3100溶剂管理器等单元模块的选配，亦可满足不同的客户需求。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shd w:val="clear" w:fill="FFFFFF"/>
        </w:rPr>
        <w:t>●W3100色谱数据工作站（硬件）采用成熟经典的A/D转换模块，不但可实现对检测器及自动进样器外的其他各单元仪器的控制，而且方便客户采集示差折光检测器、蒸发光检测器和荧光检测器等不同类型的检测器模拟信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beforeAutospacing="0" w:after="0" w:afterAutospacing="0" w:line="360" w:lineRule="auto"/>
        <w:ind w:left="0" w:right="0" w:hanging="480" w:hanging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 w:bidi="en-US"/>
        </w:rPr>
      </w:pPr>
    </w:p>
    <w:tbl>
      <w:tblPr>
        <w:tblStyle w:val="9"/>
        <w:tblpPr w:leftFromText="180" w:rightFromText="180" w:vertAnchor="text" w:horzAnchor="page" w:tblpX="1432" w:tblpY="6865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12" w:type="dxa"/>
            <w:shd w:val="clear" w:color="auto" w:fill="8EAADB" w:themeFill="accent1" w:themeFillTint="99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t>销售电话：010-60720402   010-62489782   13681449049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t>传真：010-62489782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t>邮箱：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instrText xml:space="preserve"> HYPERLINK "mailto:bjhzsv@163.com" </w:instrTex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t>bjhzsv@163.com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t>网站：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instrText xml:space="preserve"> HYPERLINK "http://www.bjhzsv.com" </w:instrTex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t>www.bjhzsv.com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en-US"/>
              </w:rPr>
              <w:t>地址：北京市昌平区回龙观镇发展路8号院8号楼9层915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en-US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134" w:bottom="1134" w:left="127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5"/>
      <w:ind w:left="0" w:leftChars="0" w:firstLine="0" w:firstLineChars="0"/>
      <w:jc w:val="both"/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</w:pP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-24765</wp:posOffset>
          </wp:positionV>
          <wp:extent cx="865505" cy="452120"/>
          <wp:effectExtent l="0" t="0" r="10795" b="5080"/>
          <wp:wrapTight wrapText="bothSides">
            <wp:wrapPolygon>
              <wp:start x="0" y="0"/>
              <wp:lineTo x="0" y="20933"/>
              <wp:lineTo x="20919" y="20933"/>
              <wp:lineTo x="20919" y="0"/>
              <wp:lineTo x="0" y="0"/>
            </wp:wrapPolygon>
          </wp:wrapTight>
          <wp:docPr id="4" name="图片 4" descr="LOGO-剪切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-剪切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sz w:val="18"/>
        <w:szCs w:val="18"/>
        <w:lang w:eastAsia="zh-CN"/>
      </w:rPr>
      <w:t>北京鸿作盛威科技有限公司</w:t>
    </w: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t xml:space="preserve">                                  </w:t>
    </w:r>
  </w:p>
  <w:p>
    <w:pPr>
      <w:pStyle w:val="6"/>
      <w:jc w:val="both"/>
      <w:rPr>
        <w:rFonts w:hint="eastAsia" w:ascii="宋体" w:hAnsi="宋体" w:eastAsia="宋体" w:cs="宋体"/>
        <w:b/>
        <w:bCs/>
        <w:sz w:val="18"/>
        <w:szCs w:val="18"/>
      </w:rPr>
    </w:pPr>
    <w:r>
      <w:rPr>
        <w:rFonts w:hint="eastAsia" w:ascii="宋体" w:hAnsi="宋体" w:eastAsia="宋体" w:cs="宋体"/>
        <w:b/>
        <w:bCs/>
        <w:sz w:val="18"/>
        <w:szCs w:val="18"/>
      </w:rPr>
      <w:t>Beijing Hongzuo Shengwei Technology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D35"/>
    <w:rsid w:val="00031D35"/>
    <w:rsid w:val="000A7940"/>
    <w:rsid w:val="001560E0"/>
    <w:rsid w:val="00380A92"/>
    <w:rsid w:val="00494445"/>
    <w:rsid w:val="0062367D"/>
    <w:rsid w:val="00640A33"/>
    <w:rsid w:val="006560C2"/>
    <w:rsid w:val="006966BD"/>
    <w:rsid w:val="007E2F6A"/>
    <w:rsid w:val="008272F5"/>
    <w:rsid w:val="009207D5"/>
    <w:rsid w:val="009A387C"/>
    <w:rsid w:val="00C26F3F"/>
    <w:rsid w:val="00CA74EB"/>
    <w:rsid w:val="00D123C5"/>
    <w:rsid w:val="00E81FA7"/>
    <w:rsid w:val="00F36686"/>
    <w:rsid w:val="00F60CFF"/>
    <w:rsid w:val="00FB0A20"/>
    <w:rsid w:val="11CB0204"/>
    <w:rsid w:val="138E095F"/>
    <w:rsid w:val="16A36AC9"/>
    <w:rsid w:val="1F1B3151"/>
    <w:rsid w:val="31B257E9"/>
    <w:rsid w:val="38C039B3"/>
    <w:rsid w:val="3A532442"/>
    <w:rsid w:val="3E525585"/>
    <w:rsid w:val="41CF4071"/>
    <w:rsid w:val="42C44E66"/>
    <w:rsid w:val="462C19A9"/>
    <w:rsid w:val="46B86EC6"/>
    <w:rsid w:val="4E204B4C"/>
    <w:rsid w:val="50D15693"/>
    <w:rsid w:val="55AD713B"/>
    <w:rsid w:val="5E0C7CD7"/>
    <w:rsid w:val="62B47EAB"/>
    <w:rsid w:val="666C1E18"/>
    <w:rsid w:val="67980FC5"/>
    <w:rsid w:val="67EC0127"/>
    <w:rsid w:val="69674D6A"/>
    <w:rsid w:val="6CA61221"/>
    <w:rsid w:val="75790863"/>
    <w:rsid w:val="75E34EB3"/>
    <w:rsid w:val="799A5823"/>
    <w:rsid w:val="7A2E2FD2"/>
    <w:rsid w:val="7AAA340E"/>
    <w:rsid w:val="7C2C5104"/>
    <w:rsid w:val="7C626509"/>
    <w:rsid w:val="7D35104B"/>
    <w:rsid w:val="7D8072A6"/>
    <w:rsid w:val="7DED5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6"/>
    <w:qFormat/>
    <w:uiPriority w:val="1"/>
    <w:pPr>
      <w:spacing w:before="67"/>
      <w:ind w:left="375"/>
      <w:outlineLvl w:val="0"/>
    </w:pPr>
    <w:rPr>
      <w:rFonts w:ascii="宋体" w:hAnsi="宋体" w:eastAsia="宋体" w:cs="宋体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rPr>
      <w:sz w:val="16"/>
      <w:szCs w:val="16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Char"/>
    <w:basedOn w:val="10"/>
    <w:link w:val="3"/>
    <w:qFormat/>
    <w:uiPriority w:val="1"/>
    <w:rPr>
      <w:rFonts w:ascii="黑体" w:hAnsi="黑体" w:eastAsia="黑体" w:cs="黑体"/>
      <w:kern w:val="0"/>
      <w:sz w:val="16"/>
      <w:szCs w:val="16"/>
      <w:lang w:eastAsia="en-US" w:bidi="en-US"/>
    </w:rPr>
  </w:style>
  <w:style w:type="paragraph" w:styleId="19">
    <w:name w:val="List Paragraph"/>
    <w:basedOn w:val="1"/>
    <w:qFormat/>
    <w:uiPriority w:val="1"/>
    <w:pPr>
      <w:ind w:left="709"/>
    </w:pPr>
  </w:style>
  <w:style w:type="character" w:customStyle="1" w:styleId="20">
    <w:name w:val="li1"/>
    <w:basedOn w:val="10"/>
    <w:qFormat/>
    <w:uiPriority w:val="0"/>
  </w:style>
  <w:style w:type="character" w:customStyle="1" w:styleId="21">
    <w:name w:val="picturewrong"/>
    <w:basedOn w:val="10"/>
    <w:uiPriority w:val="0"/>
  </w:style>
  <w:style w:type="character" w:customStyle="1" w:styleId="22">
    <w:name w:val="next"/>
    <w:basedOn w:val="10"/>
    <w:qFormat/>
    <w:uiPriority w:val="0"/>
    <w:rPr>
      <w:color w:val="999999"/>
      <w:bdr w:val="single" w:color="CCCCCC" w:sz="6" w:space="0"/>
      <w:shd w:val="clear" w:fill="F8F8F8"/>
    </w:rPr>
  </w:style>
  <w:style w:type="character" w:customStyle="1" w:styleId="23">
    <w:name w:val="next1"/>
    <w:basedOn w:val="10"/>
    <w:qFormat/>
    <w:uiPriority w:val="0"/>
    <w:rPr>
      <w:color w:val="999999"/>
      <w:bdr w:val="single" w:color="CCCCCC" w:sz="6" w:space="0"/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1</TotalTime>
  <ScaleCrop>false</ScaleCrop>
  <LinksUpToDate>false</LinksUpToDate>
  <CharactersWithSpaces>904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lenovo</dc:creator>
  <cp:lastModifiedBy>川川的世界</cp:lastModifiedBy>
  <dcterms:modified xsi:type="dcterms:W3CDTF">2019-08-13T06:47:03Z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