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40" w:type="dxa"/>
        <w:jc w:val="center"/>
        <w:tblCellSpacing w:w="0" w:type="dxa"/>
        <w:tblInd w:w="28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740" w:type="dxa"/>
            <w:tcBorders>
              <w:top w:val="single" w:color="EBE8E4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75" w:afterAutospacing="0" w:line="480" w:lineRule="atLeast"/>
              <w:jc w:val="left"/>
              <w:rPr>
                <w:rFonts w:hint="default" w:ascii="Verdana" w:hAnsi="Verdana" w:cs="Verdana"/>
                <w:b/>
                <w:color w:val="CC0000"/>
                <w:sz w:val="24"/>
                <w:szCs w:val="24"/>
              </w:rPr>
            </w:pPr>
            <w:bookmarkStart w:id="0" w:name="_GoBack"/>
            <w:r>
              <w:rPr>
                <w:rFonts w:hint="default" w:ascii="Verdana" w:hAnsi="Verdana" w:eastAsia="宋体" w:cs="Verdana"/>
                <w:b/>
                <w:color w:val="CC0000"/>
                <w:kern w:val="0"/>
                <w:sz w:val="24"/>
                <w:szCs w:val="24"/>
                <w:lang w:val="en-US" w:eastAsia="zh-CN" w:bidi="ar"/>
              </w:rPr>
              <w:t>XT-IV型在线氨氮</w:t>
            </w:r>
            <w:bookmarkEnd w:id="0"/>
            <w:r>
              <w:rPr>
                <w:rFonts w:hint="default" w:ascii="Verdana" w:hAnsi="Verdana" w:eastAsia="宋体" w:cs="Verdana"/>
                <w:b/>
                <w:color w:val="CC0000"/>
                <w:kern w:val="0"/>
                <w:sz w:val="24"/>
                <w:szCs w:val="24"/>
                <w:lang w:val="en-US" w:eastAsia="zh-CN" w:bidi="ar"/>
              </w:rPr>
              <w:t>分析仪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740" w:type="dxa"/>
            <w:shd w:val="clear"/>
            <w:vAlign w:val="center"/>
          </w:tcPr>
          <w:tbl>
            <w:tblPr>
              <w:tblW w:w="7725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72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77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  <w:jc w:val="left"/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color w:val="666666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7725" w:type="dxa"/>
              <w:tblCellSpacing w:w="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725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7725" w:type="dxa"/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  <w:jc w:val="center"/>
                  </w:pP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drawing>
                      <wp:inline distT="0" distB="0" distL="114300" distR="114300">
                        <wp:extent cx="2409825" cy="2466975"/>
                        <wp:effectExtent l="0" t="0" r="0" b="9525"/>
                        <wp:docPr id="2" name="图片 2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9825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</w:pP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技术指标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line="360" w:lineRule="atLeast"/>
                  </w:pP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1、测量方法：纳氏蒸馏氨气逐出分光光度比色法；测试量程：（0 -4）mg/l,（0-15）mg/l,（0 -50）mg/l,（0 -300）mg/l；</w:t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2、四档量程自动切换，最大测量量程：0-300mg/L 测量下线：0.05mg/L 分辨率：＜0.02mg/L 准确度：标准溶液＜10%；水样＜15%；重现度：小于5%，消解时间：20min，可设定，无故障运行时间：≧720h/次，量程漂移：±5%F.S.；</w:t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3、做样间隔：连续、1小时、2小时、24小时、触发、指定时间点，校正间隔：手动进行或按选定间隔和时间自动进行（1-7天），清洗间隔：手动进行或按选定间隔和时间自动进行（1-7天），保养间隔：〉1个月，每次约1小时；</w:t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4、试剂消耗：每套试剂越720个样左右；</w:t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5、人机界面：7寸、7万色、800*480分辨率、TFT真彩色触摸屏，打印：预留打印机接口，可外接工业微型打印机(选配)，存储：2万条数据，掉电不丢失，存满自动覆盖最早数据（可增配4万条数据）；</w:t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default" w:ascii="Verdana" w:hAnsi="Verdana" w:cs="Verdana"/>
                      <w:color w:val="666666"/>
                      <w:sz w:val="18"/>
                      <w:szCs w:val="18"/>
                    </w:rPr>
                    <w:t>6、通信接口：1路RS232数字接口或RS485，支持MODBUS通信协议或自定义协议；1路模拟量4～20mA（20mA对应量程可调）；</w:t>
                  </w:r>
                </w:p>
              </w:tc>
            </w:tr>
          </w:tbl>
          <w:p>
            <w:pPr>
              <w:wordWrap w:val="0"/>
              <w:spacing w:line="360" w:lineRule="atLeast"/>
              <w:rPr>
                <w:rFonts w:hint="default" w:ascii="Verdana" w:hAnsi="Verdana" w:cs="Verdana"/>
                <w:color w:val="666666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E6E9B"/>
    <w:rsid w:val="203E6E9B"/>
    <w:rsid w:val="20D1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default" w:ascii="Verdana" w:hAnsi="Verdana" w:cs="Verdana"/>
      <w:color w:val="666666"/>
      <w:sz w:val="18"/>
      <w:szCs w:val="18"/>
      <w:u w:val="none"/>
    </w:rPr>
  </w:style>
  <w:style w:type="character" w:styleId="5">
    <w:name w:val="Hyperlink"/>
    <w:basedOn w:val="3"/>
    <w:uiPriority w:val="0"/>
    <w:rPr>
      <w:rFonts w:ascii="Verdana" w:hAnsi="Verdana" w:cs="Verdana"/>
      <w:color w:val="666666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2017-09-13T06:08:00Z</dcterms:created>
  <dc:creator>Administrator</dc:creator>
  <cp:lastModifiedBy>Administrator</cp:lastModifiedBy>
  <dcterms:modified xsi:type="dcterms:W3CDTF">2017-09-13T06:10:38Z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