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40" w:type="dxa"/>
        <w:jc w:val="center"/>
        <w:tblCellSpacing w:w="0" w:type="dxa"/>
        <w:tblInd w:w="28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40" w:type="dxa"/>
            <w:tcBorders>
              <w:top w:val="single" w:color="EBE8E4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75" w:afterAutospacing="0" w:line="480" w:lineRule="atLeast"/>
              <w:jc w:val="left"/>
              <w:rPr>
                <w:rFonts w:hint="default" w:ascii="Verdana" w:hAnsi="Verdana" w:cs="Verdana"/>
                <w:b/>
                <w:color w:val="CC0000"/>
                <w:sz w:val="24"/>
                <w:szCs w:val="24"/>
              </w:rPr>
            </w:pPr>
            <w:bookmarkStart w:id="0" w:name="_GoBack"/>
            <w:r>
              <w:rPr>
                <w:rFonts w:hint="default" w:ascii="Verdana" w:hAnsi="Verdana" w:eastAsia="宋体" w:cs="Verdana"/>
                <w:b/>
                <w:color w:val="CC0000"/>
                <w:kern w:val="0"/>
                <w:sz w:val="24"/>
                <w:szCs w:val="24"/>
                <w:lang w:val="en-US" w:eastAsia="zh-CN" w:bidi="ar"/>
              </w:rPr>
              <w:t>XT-IV型COD</w:t>
            </w:r>
            <w:bookmarkEnd w:id="0"/>
            <w:r>
              <w:rPr>
                <w:rFonts w:hint="default" w:ascii="Verdana" w:hAnsi="Verdana" w:eastAsia="宋体" w:cs="Verdana"/>
                <w:b/>
                <w:color w:val="CC0000"/>
                <w:kern w:val="0"/>
                <w:sz w:val="24"/>
                <w:szCs w:val="24"/>
                <w:lang w:val="en-US" w:eastAsia="zh-CN" w:bidi="ar"/>
              </w:rPr>
              <w:t>水质在线分析仪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40" w:type="dxa"/>
            <w:shd w:val="clear"/>
            <w:vAlign w:val="center"/>
          </w:tcPr>
          <w:tbl>
            <w:tblPr>
              <w:tblW w:w="7725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2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7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color w:val="666666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7725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7"/>
              <w:gridCol w:w="167"/>
              <w:gridCol w:w="373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3827" w:type="dxa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center"/>
                  </w:pP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drawing>
                      <wp:inline distT="0" distB="0" distL="114300" distR="114300">
                        <wp:extent cx="2409825" cy="2466975"/>
                        <wp:effectExtent l="0" t="0" r="0" b="9525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982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</w:pP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技术指标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</w:pP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测量方法：重鉻酸钾高温消解，比色测定（国家标准GB11914-89）；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测试量程：（0 -200）mg/l,（0-1000）mg/l,（0 -5000）mg/l三档量程可选；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最大测试量程：0-40000mg/l（自动稀释后）；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外型尺寸：900×600× 450(mm) 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重量：50kg；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电源：AC 220V ± 20%, 50Hz ± 1%；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功率：300W环境温度：5～40℃；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环境湿度：≤85%；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抗氯离子干扰：最大40000mg/l（自动稀释后）；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检测下线：8mg/l；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分辨率：&lt;1mg/l；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准确度：标准溶液 &lt;10%；水样&lt;15%；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重现度：&lt; 5%；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消解温度：165℃，可设定；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消解时间：15min，可设定；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无故障运行时间：≧720h/次；</w:t>
                  </w:r>
                </w:p>
              </w:tc>
              <w:tc>
                <w:tcPr>
                  <w:tcW w:w="1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color w:val="666666"/>
                      <w:kern w:val="0"/>
                      <w:sz w:val="18"/>
                      <w:szCs w:val="18"/>
                      <w:lang w:val="en-US" w:eastAsia="zh-CN" w:bidi="ar"/>
                    </w:rPr>
                    <w:drawing>
                      <wp:inline distT="0" distB="0" distL="114300" distR="114300">
                        <wp:extent cx="85725" cy="9525"/>
                        <wp:effectExtent l="0" t="0" r="0" b="0"/>
                        <wp:docPr id="2" name="图片 2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IMG_2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1" w:type="dxa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</w:pP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量程漂移：±5%F.S.； 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做样间隔：连续、1小时、2小时、24小时、触发；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校正间隔：手动进行或按选定间隔和时间自动进行（1-7天）；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清洗间隔：手动进行或按选定间隔和时间自动进行（1-7天）；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保养间隔：〉1个月，每次约1小时；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人机界面：7寸、7万色、800*480分辨率、TFT真彩色；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触摸屏打印：预留打印机接口，可外接工业微型打印机(选配)；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存储：2万条数据，掉电不丢失，存满自动覆盖最早数据（可增配4万条数据）；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通信接口：1路RS232数字接口或RS485，支持MODBUS通信协议或自定义协议，1路模拟量4～20mA（20mA对应量程可调）；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预处理系统：自清洗、反吹、精密过滤功能，保证样品具有良好代表性的同时，也避免了悬浮颗粒堵塞管路，确保数据的连续性(选配)。</w:t>
                  </w:r>
                </w:p>
              </w:tc>
            </w:tr>
          </w:tbl>
          <w:p>
            <w:pPr>
              <w:wordWrap w:val="0"/>
              <w:spacing w:line="360" w:lineRule="atLeast"/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A6CF0"/>
    <w:rsid w:val="304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default" w:ascii="Verdana" w:hAnsi="Verdana" w:cs="Verdana"/>
      <w:color w:val="666666"/>
      <w:sz w:val="18"/>
      <w:szCs w:val="18"/>
      <w:u w:val="none"/>
    </w:rPr>
  </w:style>
  <w:style w:type="character" w:styleId="5">
    <w:name w:val="Hyperlink"/>
    <w:basedOn w:val="3"/>
    <w:uiPriority w:val="0"/>
    <w:rPr>
      <w:rFonts w:ascii="Verdana" w:hAnsi="Verdana" w:cs="Verdana"/>
      <w:color w:val="66666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2017-09-13T06:06:00Z</dcterms:created>
  <dc:creator>Administrator</dc:creator>
  <cp:lastModifiedBy>Administrator</cp:lastModifiedBy>
  <dcterms:modified xsi:type="dcterms:W3CDTF">2017-09-13T06:08:01Z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