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数字式动态扭矩测试</w:t>
      </w:r>
      <w:bookmarkEnd w:id="0"/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</w:rPr>
        <w:t>ZRX-29636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0287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 xml:space="preserve">一、简介  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</w:rPr>
        <w:t>ZRX-29636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型绝缘电阻表多功能试验箱，是依据JJG1005—2005《电子式绝缘电阻表检定规程》、JJG622—1997《绝缘电阻表（兆欧表）检定规程》的有关检定项目要求，并参考电力行业标准DL/T845.1—2004《电子式绝缘电阻表》通用技术条件中的相关内容设计制造的专用设备，与高阻箱相互配合可用于检定电子式绝缘电阻表的跌落电压、短路电流，也可用于检定普通指针式兆欧表的峰值电压、开路电压、中值电压。特别适合于大功率绝缘电阻表的检定。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二、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</w:rPr>
        <w:t>ZRX-29636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 xml:space="preserve">主要技术性能  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1、测量范围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a.电压分两档    0—1000V，0—5KV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b.短路电流      0—20mA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30" w:lineRule="atLeast"/>
        <w:jc w:val="left"/>
        <w:rPr>
          <w:rFonts w:hint="eastAsia" w:ascii="宋体" w:hAnsi="宋体" w:eastAsia="宋体" w:cs="宋体"/>
          <w:i w:val="0"/>
          <w:color w:val="353535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olor w:val="353535"/>
          <w:kern w:val="0"/>
          <w:sz w:val="24"/>
          <w:szCs w:val="24"/>
          <w:bdr w:val="none" w:color="auto" w:sz="0" w:space="0"/>
          <w:lang w:val="en-US" w:eastAsia="zh-CN" w:bidi="ar"/>
        </w:rPr>
        <w:t>2、基本误差</w:t>
      </w:r>
    </w:p>
    <w:tbl>
      <w:tblPr>
        <w:tblW w:w="6060" w:type="dxa"/>
        <w:tblCellSpacing w:w="0" w:type="dxa"/>
        <w:tblInd w:w="-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5"/>
        <w:gridCol w:w="34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直流电压（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Ud Uz  Uk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0~5kV自动量程分两档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≤1kV：±（0.4%读数+0.1%满度）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＞1000V：±（0.5%读数+0.5%满度）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峰值电压（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Uf</w:t>
            </w: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0~5kV手动量程分两档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±（1%读数+0.5%满度）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短路电流  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0~20mA</w:t>
            </w:r>
          </w:p>
        </w:tc>
        <w:tc>
          <w:tcPr>
            <w:tcW w:w="3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35353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±（0.3%读数+0.2%满度）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3、电压表响应时间约25秒。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4、使用环境:温度23±5℃，相对湿度80%。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5、电源:三节1#干电池串联（用户自备）。</w:t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olor w:val="353535"/>
          <w:sz w:val="24"/>
          <w:szCs w:val="24"/>
          <w:bdr w:val="none" w:color="auto" w:sz="0" w:space="0"/>
        </w:rPr>
        <w:t>6、外形尺寸：320 mm×240mm×150mm。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0DEC"/>
    <w:rsid w:val="0E930DEC"/>
    <w:rsid w:val="269C5568"/>
    <w:rsid w:val="316D5203"/>
    <w:rsid w:val="32EA5452"/>
    <w:rsid w:val="497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2019-06-13T05:58:00Z</dcterms:created>
  <dc:creator>16</dc:creator>
  <cp:lastModifiedBy>16</cp:lastModifiedBy>
  <dcterms:modified xsi:type="dcterms:W3CDTF">2019-06-13T07:03:53Z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