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eastAsia" w:ascii="Hiragino Sans GB" w:hAnsi="Hiragino Sans GB" w:eastAsia="Hiragino Sans GB" w:cs="Hiragino Sans GB"/>
          <w:b w:val="0"/>
          <w:bCs/>
          <w:i w:val="0"/>
          <w:caps w:val="0"/>
          <w:color w:val="333333"/>
          <w:spacing w:val="0"/>
          <w:sz w:val="36"/>
          <w:szCs w:val="36"/>
        </w:rPr>
      </w:pPr>
      <w:r>
        <w:rPr>
          <w:rStyle w:val="6"/>
          <w:rFonts w:hint="default"/>
          <w:b w:val="0"/>
          <w:bCs/>
          <w:sz w:val="36"/>
          <w:szCs w:val="36"/>
          <w:shd w:val="clear" w:fill="F1F3F5"/>
        </w:rPr>
        <w:t>Thermo Scientific ITQ 1100™ GC/MS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Hiragino Sans GB" w:hAnsi="Hiragino Sans GB" w:eastAsia="Hiragino Sans GB" w:cs="Hiragino Sans GB"/>
          <w:b w:val="0"/>
          <w:i w:val="0"/>
          <w:caps w:val="0"/>
          <w:color w:val="333333"/>
          <w:spacing w:val="0"/>
          <w:sz w:val="36"/>
          <w:szCs w:val="36"/>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Hiragino Sans GB" w:hAnsi="Hiragino Sans GB" w:eastAsia="Hiragino Sans GB" w:cs="Hiragino Sans GB"/>
          <w:b w:val="0"/>
          <w:i w:val="0"/>
          <w:caps w:val="0"/>
          <w:color w:val="333333"/>
          <w:spacing w:val="0"/>
          <w:sz w:val="18"/>
          <w:szCs w:val="18"/>
        </w:rPr>
      </w:pPr>
      <w:r>
        <w:rPr>
          <w:rFonts w:hint="default" w:ascii="Hiragino Sans GB" w:hAnsi="Hiragino Sans GB" w:eastAsia="Hiragino Sans GB" w:cs="Hiragino Sans GB"/>
          <w:b w:val="0"/>
          <w:i w:val="0"/>
          <w:caps w:val="0"/>
          <w:color w:val="333333"/>
          <w:spacing w:val="0"/>
          <w:sz w:val="18"/>
          <w:szCs w:val="18"/>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Hiragino Sans GB" w:hAnsi="Hiragino Sans GB" w:eastAsia="Hiragino Sans GB" w:cs="Hiragino Sans GB"/>
          <w:b w:val="0"/>
          <w:i w:val="0"/>
          <w:caps w:val="0"/>
          <w:color w:val="333333"/>
          <w:spacing w:val="0"/>
          <w:sz w:val="18"/>
          <w:szCs w:val="18"/>
        </w:rPr>
      </w:pPr>
      <w:r>
        <w:rPr>
          <w:rFonts w:hint="default" w:ascii="Hiragino Sans GB" w:hAnsi="Hiragino Sans GB" w:eastAsia="Hiragino Sans GB" w:cs="Hiragino Sans GB"/>
          <w:b w:val="0"/>
          <w:i w:val="0"/>
          <w:caps w:val="0"/>
          <w:color w:val="333333"/>
          <w:spacing w:val="0"/>
          <w:sz w:val="18"/>
          <w:szCs w:val="18"/>
        </w:rPr>
        <w:t> </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Hiragino Sans GB" w:hAnsi="Hiragino Sans GB" w:eastAsia="Hiragino Sans GB" w:cs="Hiragino Sans GB"/>
          <w:b w:val="0"/>
          <w:i w:val="0"/>
          <w:caps w:val="0"/>
          <w:color w:val="333333"/>
          <w:spacing w:val="0"/>
          <w:sz w:val="18"/>
          <w:szCs w:val="18"/>
        </w:rPr>
      </w:pPr>
      <w:r>
        <w:rPr>
          <w:rFonts w:hint="default" w:ascii="Hiragino Sans GB" w:hAnsi="Hiragino Sans GB" w:eastAsia="Hiragino Sans GB" w:cs="Hiragino Sans GB"/>
          <w:b w:val="0"/>
          <w:i w:val="0"/>
          <w:caps w:val="0"/>
          <w:color w:val="333333"/>
          <w:spacing w:val="0"/>
          <w:sz w:val="18"/>
          <w:szCs w:val="18"/>
        </w:rPr>
        <w:t>仪器简介: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Style w:val="6"/>
          <w:rFonts w:hint="default"/>
          <w:b w:val="0"/>
          <w:bCs/>
          <w:sz w:val="18"/>
          <w:szCs w:val="18"/>
          <w:shd w:val="clear" w:fill="F1F3F5"/>
        </w:rPr>
      </w:pPr>
      <w:r>
        <w:rPr>
          <w:rStyle w:val="6"/>
          <w:rFonts w:hint="default"/>
          <w:b w:val="0"/>
          <w:bCs/>
          <w:sz w:val="18"/>
          <w:szCs w:val="18"/>
          <w:shd w:val="clear" w:fill="F1F3F5"/>
        </w:rPr>
        <w:t>Thermo Scientific ITQ 1100TM 气相色谱质谱联用仪器是赛默飞世尔科技公司气相色谱—离子阱质谱联用仪ITQ系列的一员。Thermo Scientific ITQ 1100TM 气相色谱质谱联用仪器无论是在科研还是日常应用中，都可以最大程度地发挥GC/MS的功效。由于它具备了扩展的质量范围，全部标准物名单这些特性，加上Thermo Scientific TRACE GC UltraTM系列气相色谱卓越的性能和通用性，使ITQ 1100气相色谱质谱联用仪器成为了一个强大的工具。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Style w:val="6"/>
          <w:rFonts w:hint="default"/>
          <w:b w:val="0"/>
          <w:bCs/>
          <w:sz w:val="18"/>
          <w:szCs w:val="18"/>
          <w:shd w:val="clear" w:fill="F1F3F5"/>
        </w:rPr>
      </w:pPr>
      <w:r>
        <w:rPr>
          <w:rStyle w:val="6"/>
          <w:rFonts w:hint="default"/>
          <w:b w:val="0"/>
          <w:bCs/>
          <w:sz w:val="18"/>
          <w:szCs w:val="18"/>
          <w:shd w:val="clear" w:fill="F1F3F5"/>
        </w:rPr>
        <w:t>对于那些正在力图建立一个强大而灵活的GC/MS平台的实验室来说，Thermo Scientific ITQ 1100 GC/MSn绝对是一个理想的选择。它具有无与伦比的扫描灵敏度，扩展的质量范围和标准的MSn(MS/MS, n&lt; 5)模式，这些都使ITQ 1100成为了科研机构，食品安全分析，环境和毒性检测应用的理想选择。此外，ITQ 1100新的MSn扫描特性可以得到更加丰富全面的数据，这些信息可以帮助我们更加容易地进行结构解析和确认。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Style w:val="6"/>
          <w:rFonts w:hint="default"/>
          <w:b w:val="0"/>
          <w:bCs/>
          <w:sz w:val="18"/>
          <w:szCs w:val="18"/>
          <w:shd w:val="clear" w:fill="F1F3F5"/>
        </w:rPr>
      </w:pPr>
      <w:r>
        <w:rPr>
          <w:rStyle w:val="6"/>
          <w:rFonts w:hint="default"/>
          <w:b w:val="0"/>
          <w:bCs/>
          <w:sz w:val="18"/>
          <w:szCs w:val="18"/>
          <w:shd w:val="clear" w:fill="F1F3F5"/>
        </w:rPr>
        <w:t>可用于常规检测那些不能被其他GC/MS技术，甚至基质技术检测到的化合物。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Style w:val="6"/>
          <w:rFonts w:hint="default"/>
          <w:b w:val="0"/>
          <w:bCs/>
          <w:sz w:val="18"/>
          <w:szCs w:val="18"/>
          <w:shd w:val="clear" w:fill="F1F3F5"/>
        </w:rPr>
      </w:pPr>
      <w:r>
        <w:rPr>
          <w:rStyle w:val="6"/>
          <w:rFonts w:hint="default"/>
          <w:b w:val="0"/>
          <w:bCs/>
          <w:sz w:val="18"/>
          <w:szCs w:val="18"/>
          <w:shd w:val="clear" w:fill="F1F3F5"/>
        </w:rPr>
        <w:t>在一次数据采集中，可以同时获得一级质谱和多级质谱信息。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Style w:val="6"/>
          <w:rFonts w:hint="default"/>
          <w:b w:val="0"/>
          <w:bCs/>
          <w:sz w:val="18"/>
          <w:szCs w:val="18"/>
          <w:shd w:val="clear" w:fill="F1F3F5"/>
        </w:rPr>
      </w:pPr>
      <w:r>
        <w:rPr>
          <w:rStyle w:val="6"/>
          <w:rFonts w:hint="default"/>
          <w:b w:val="0"/>
          <w:bCs/>
          <w:sz w:val="18"/>
          <w:szCs w:val="18"/>
          <w:shd w:val="clear" w:fill="F1F3F5"/>
        </w:rPr>
        <w:t>可在数分钟内恢复您的ITQ 1100仪器，不需要放气，您只需要使用一个标准的真空探针连锁装置，就可以很简单地改变离子的大小。</w:t>
      </w:r>
    </w:p>
    <w:p>
      <w:pPr>
        <w:pStyle w:val="4"/>
        <w:keepNext w:val="0"/>
        <w:keepLines w:val="0"/>
        <w:widowControl/>
        <w:suppressLineNumbers w:val="0"/>
        <w:spacing w:before="0" w:beforeAutospacing="0" w:after="0" w:afterAutospacing="0"/>
        <w:ind w:left="0" w:right="0"/>
      </w:pPr>
      <w:r>
        <w:rPr>
          <w:sz w:val="18"/>
          <w:szCs w:val="18"/>
          <w:shd w:val="clear" w:fill="F1F3F5"/>
        </w:rPr>
        <w:br w:type="textWrapping"/>
      </w:r>
      <w:r>
        <w:rPr>
          <w:rStyle w:val="6"/>
          <w:sz w:val="18"/>
          <w:szCs w:val="18"/>
          <w:shd w:val="clear" w:fill="F1F3F5"/>
        </w:rPr>
        <w:t>非常卓越的外部离子源离子阱技术</w:t>
      </w:r>
      <w:r>
        <w:rPr>
          <w:sz w:val="18"/>
          <w:szCs w:val="18"/>
          <w:shd w:val="clear" w:fill="F1F3F5"/>
        </w:rPr>
        <w:br w:type="textWrapping"/>
      </w:r>
      <w:r>
        <w:rPr>
          <w:sz w:val="18"/>
          <w:szCs w:val="18"/>
          <w:shd w:val="clear" w:fill="F1F3F5"/>
        </w:rPr>
        <w:t>ITQ独特的高温外部离子化的离子源，它能有效的处理基质较脏的样品，并能提高响应的稳定性。高性能离子源与外部中性收集器结合，并且采用高温材料做原料。高温上限为300℃ ，ITQ离子源能够长期保持清洁，只需要常规的离子源维护就可以分析成百上千的样品。</w:t>
      </w:r>
      <w:r>
        <w:rPr>
          <w:sz w:val="18"/>
          <w:szCs w:val="18"/>
          <w:shd w:val="clear" w:fill="F1F3F5"/>
        </w:rPr>
        <w:br w:type="textWrapping"/>
      </w:r>
      <w:r>
        <w:rPr>
          <w:rStyle w:val="6"/>
          <w:sz w:val="18"/>
          <w:szCs w:val="18"/>
          <w:shd w:val="clear" w:fill="F1F3F5"/>
        </w:rPr>
        <w:t>无法匹敌的全扫描灵敏度为GC/MS的常规应用而设计</w:t>
      </w:r>
      <w:r>
        <w:rPr>
          <w:sz w:val="18"/>
          <w:szCs w:val="18"/>
          <w:shd w:val="clear" w:fill="F1F3F5"/>
        </w:rPr>
        <w:br w:type="textWrapping"/>
      </w:r>
      <w:r>
        <w:rPr>
          <w:sz w:val="18"/>
          <w:szCs w:val="18"/>
          <w:shd w:val="clear" w:fill="F1F3F5"/>
        </w:rPr>
        <w:t>ITQ仪器都提供了现今最好的全扫描电子轰击电离源（EI）的灵敏度，这就意味着即使是基质样品也会很容易地获得较低的检出限。外部离子化和高级调谐确保获得定量和定性方面可信度高的，并能进行谱库检索的质谱数据。无论是做常规的环境分析，工业质量控制，谱图确认或者作为大学的培训仪器，ITQ系列都为常规方法分析提供了你所需要的性能。</w:t>
      </w:r>
      <w:r>
        <w:rPr>
          <w:sz w:val="18"/>
          <w:szCs w:val="18"/>
          <w:shd w:val="clear" w:fill="F1F3F5"/>
        </w:rPr>
        <w:br w:type="textWrapping"/>
      </w:r>
      <w:r>
        <w:rPr>
          <w:sz w:val="18"/>
          <w:szCs w:val="18"/>
          <w:shd w:val="clear" w:fill="F1F3F5"/>
        </w:rPr>
        <w:t>升级到MSn可做选择性基质消除</w:t>
      </w:r>
      <w:r>
        <w:rPr>
          <w:sz w:val="18"/>
          <w:szCs w:val="18"/>
          <w:shd w:val="clear" w:fill="F1F3F5"/>
        </w:rPr>
        <w:br w:type="textWrapping"/>
      </w:r>
      <w:r>
        <w:rPr>
          <w:sz w:val="18"/>
          <w:szCs w:val="18"/>
          <w:shd w:val="clear" w:fill="F1F3F5"/>
        </w:rPr>
        <w:t>为你的ITQ系统增加多级质谱（MSn）的功能，就可以为那些利用其它GC/MS技术而没有得到典型谱图的化合物做常规检验了。MSn为目标分析物在选择性方面提供了最大的极限，消除了假阳性和假阴性的判断。这个强有力的工具成为ITQ 1100系统的标准配置，同时也是ITQ 700和ITQ 900仪器的可选项配置。MSn可适用于绝大多数化合物，并且同选择离子监测(SIM)一样操作简便。极好的选择性允许基质中的目标分析物在亚皮克浓度范围内被检测和定量，例如植株和动物组织，土壤和淤泥，生物学液体，和牛奶等基质。</w:t>
      </w:r>
      <w:r>
        <w:rPr>
          <w:sz w:val="18"/>
          <w:szCs w:val="18"/>
          <w:shd w:val="clear" w:fill="F1F3F5"/>
        </w:rPr>
        <w:br w:type="textWrapping"/>
      </w:r>
      <w:r>
        <w:rPr>
          <w:sz w:val="18"/>
          <w:szCs w:val="18"/>
          <w:shd w:val="clear" w:fill="F1F3F5"/>
        </w:rPr>
        <w:t>对复杂基质分析具有无以伦比的性能</w:t>
      </w:r>
      <w:r>
        <w:rPr>
          <w:sz w:val="18"/>
          <w:szCs w:val="18"/>
          <w:shd w:val="clear" w:fill="F1F3F5"/>
        </w:rPr>
        <w:br w:type="textWrapping"/>
      </w:r>
      <w:r>
        <w:rPr>
          <w:sz w:val="18"/>
          <w:szCs w:val="18"/>
          <w:shd w:val="clear" w:fill="F1F3F5"/>
        </w:rPr>
        <w:t>设置同选择离子监测一样简单</w:t>
      </w:r>
      <w:r>
        <w:rPr>
          <w:sz w:val="18"/>
          <w:szCs w:val="18"/>
          <w:shd w:val="clear" w:fill="F1F3F5"/>
        </w:rPr>
        <w:br w:type="textWrapping"/>
      </w:r>
      <w:r>
        <w:rPr>
          <w:sz w:val="18"/>
          <w:szCs w:val="18"/>
          <w:shd w:val="clear" w:fill="F1F3F5"/>
        </w:rPr>
        <w:t>更高的可信度–消除假阳性和假阴性</w:t>
      </w:r>
      <w:r>
        <w:rPr>
          <w:sz w:val="18"/>
          <w:szCs w:val="18"/>
          <w:shd w:val="clear" w:fill="F1F3F5"/>
        </w:rPr>
        <w:br w:type="textWrapping"/>
      </w:r>
      <w:r>
        <w:rPr>
          <w:rStyle w:val="6"/>
          <w:sz w:val="18"/>
          <w:szCs w:val="18"/>
          <w:shd w:val="clear" w:fill="F1F3F5"/>
        </w:rPr>
        <w:t>宽的动态范围</w:t>
      </w:r>
      <w:r>
        <w:rPr>
          <w:sz w:val="18"/>
          <w:szCs w:val="18"/>
          <w:shd w:val="clear" w:fill="F1F3F5"/>
        </w:rPr>
        <w:br w:type="textWrapping"/>
      </w:r>
      <w:r>
        <w:rPr>
          <w:sz w:val="18"/>
          <w:szCs w:val="18"/>
          <w:shd w:val="clear" w:fill="F1F3F5"/>
        </w:rPr>
        <w:t>定量性能对于任何GC/MS系统都是一个极其重要的方面。加强了系统实力并且使其更好。改善阱离子的运动规则，增强了线性的动态范围和谱图质量。定量和谱图一致性范围从法克（fg）一直到纳克(ng)甚至更多。</w:t>
      </w:r>
      <w:r>
        <w:rPr>
          <w:sz w:val="18"/>
          <w:szCs w:val="18"/>
          <w:shd w:val="clear" w:fill="F1F3F5"/>
        </w:rPr>
        <w:br w:type="textWrapping"/>
      </w:r>
      <w:r>
        <w:rPr>
          <w:rStyle w:val="6"/>
          <w:sz w:val="18"/>
          <w:szCs w:val="18"/>
          <w:shd w:val="clear" w:fill="F1F3F5"/>
        </w:rPr>
        <w:t>数分钟内更换离子源体</w:t>
      </w:r>
      <w:r>
        <w:rPr>
          <w:sz w:val="18"/>
          <w:szCs w:val="18"/>
          <w:shd w:val="clear" w:fill="F1F3F5"/>
        </w:rPr>
        <w:br w:type="textWrapping"/>
      </w:r>
      <w:r>
        <w:rPr>
          <w:sz w:val="18"/>
          <w:szCs w:val="18"/>
          <w:shd w:val="clear" w:fill="F1F3F5"/>
        </w:rPr>
        <w:t>抽取式的离子源体为所有类型的分析提供了附加的多种功能和便利条件。可以在几分钟内从GC/MS转换到进样杆分析。利用真空互锁选项，在保持真空的条件下更换离子源体。根据你的应用，你可以用清洁的离子源体迅速替换脏的离子源体或者电子电离（EI），化学电离(CI)或者组合EI/CI离子源体。通用的EI/CI 离子源体,使用带有Data Dependent 采集功能的数字式CI模式可以获得分子离子，MS/MS谱图，以及可进行谱库检索的EI谱图一次进样。目前，这正是提高样品分析量的捷径— 快！</w:t>
      </w:r>
      <w:r>
        <w:rPr>
          <w:sz w:val="18"/>
          <w:szCs w:val="18"/>
          <w:shd w:val="clear" w:fill="F1F3F5"/>
        </w:rPr>
        <w:br w:type="textWrapping"/>
      </w:r>
      <w:r>
        <w:rPr>
          <w:sz w:val="18"/>
          <w:szCs w:val="18"/>
          <w:shd w:val="clear" w:fill="F1F3F5"/>
        </w:rPr>
        <w:t> </w:t>
      </w:r>
      <w:r>
        <w:rPr>
          <w:rStyle w:val="6"/>
          <w:sz w:val="18"/>
          <w:szCs w:val="18"/>
          <w:shd w:val="clear" w:fill="F1F3F5"/>
        </w:rPr>
        <w:t>轻松的正负离子化学离子化</w:t>
      </w:r>
      <w:r>
        <w:rPr>
          <w:sz w:val="18"/>
          <w:szCs w:val="18"/>
          <w:shd w:val="clear" w:fill="F1F3F5"/>
        </w:rPr>
        <w:br w:type="textWrapping"/>
      </w:r>
      <w:r>
        <w:rPr>
          <w:sz w:val="18"/>
          <w:szCs w:val="18"/>
          <w:shd w:val="clear" w:fill="F1F3F5"/>
        </w:rPr>
        <w:t>离子源内化学反应气的压力决定了定量的重现性。装备了化学离子化(CI)的ITQ系统通过结合反应气电子流量控制器，将反应气压力的可变性降低到最小。方法软件控制反应气流速以便数据系统随时激活分析方法，CI反应气的精确流速被传递给质谱仪。校准曲线每天都会很稳定，定量的精确性也会提高。正负化学离子化很容易设定，并且利用软件设定，反应气流速拥有很宽的可调范围。另外，所具有的脉冲正离子负离子化学离子化(PPNICI)能够在单次进样的条件下同时获得正负化学离子化数据。</w:t>
      </w:r>
      <w:r>
        <w:rPr>
          <w:sz w:val="18"/>
          <w:szCs w:val="18"/>
          <w:shd w:val="clear" w:fill="F1F3F5"/>
        </w:rPr>
        <w:br w:type="textWrapping"/>
      </w:r>
      <w:r>
        <w:rPr>
          <w:sz w:val="18"/>
          <w:szCs w:val="18"/>
          <w:shd w:val="clear" w:fill="F1F3F5"/>
        </w:rPr>
        <w:t>反应气数字式电子流量控制器</w:t>
      </w:r>
      <w:r>
        <w:rPr>
          <w:sz w:val="18"/>
          <w:szCs w:val="18"/>
          <w:shd w:val="clear" w:fill="F1F3F5"/>
        </w:rPr>
        <w:br w:type="textWrapping"/>
      </w:r>
      <w:r>
        <w:rPr>
          <w:sz w:val="18"/>
          <w:szCs w:val="18"/>
          <w:shd w:val="clear" w:fill="F1F3F5"/>
        </w:rPr>
        <w:t>提高定量的准确性和精确性</w:t>
      </w:r>
      <w:r>
        <w:rPr>
          <w:sz w:val="18"/>
          <w:szCs w:val="18"/>
          <w:shd w:val="clear" w:fill="F1F3F5"/>
        </w:rPr>
        <w:br w:type="textWrapping"/>
      </w:r>
      <w:r>
        <w:rPr>
          <w:sz w:val="18"/>
          <w:szCs w:val="18"/>
          <w:shd w:val="clear" w:fill="F1F3F5"/>
        </w:rPr>
        <w:t>可重复的离子比率</w:t>
      </w:r>
      <w:r>
        <w:rPr>
          <w:sz w:val="18"/>
          <w:szCs w:val="18"/>
          <w:shd w:val="clear" w:fill="F1F3F5"/>
        </w:rPr>
        <w:br w:type="textWrapping"/>
      </w:r>
      <w:r>
        <w:rPr>
          <w:sz w:val="18"/>
          <w:szCs w:val="18"/>
          <w:shd w:val="clear" w:fill="F1F3F5"/>
        </w:rPr>
        <w:t>经过不断的革新，ITQ 系列在技术方面有两个新的突破，目的在于改善数据质量，并使系统的操作轻松容易。目前，MS/MS的优点是更容易完成。</w:t>
      </w:r>
      <w:r>
        <w:rPr>
          <w:sz w:val="18"/>
          <w:szCs w:val="18"/>
          <w:shd w:val="clear" w:fill="F1F3F5"/>
        </w:rPr>
        <w:br w:type="textWrapping"/>
      </w:r>
      <w:r>
        <w:rPr>
          <w:rStyle w:val="6"/>
          <w:sz w:val="18"/>
          <w:szCs w:val="18"/>
          <w:shd w:val="clear" w:fill="F1F3F5"/>
        </w:rPr>
        <w:t>自动设定碰撞能量</w:t>
      </w:r>
      <w:r>
        <w:rPr>
          <w:sz w:val="18"/>
          <w:szCs w:val="18"/>
          <w:shd w:val="clear" w:fill="F1F3F5"/>
        </w:rPr>
        <w:br w:type="textWrapping"/>
      </w:r>
      <w:r>
        <w:rPr>
          <w:sz w:val="18"/>
          <w:szCs w:val="18"/>
          <w:shd w:val="clear" w:fill="F1F3F5"/>
        </w:rPr>
        <w:t>ITQ系列引进了新的专利自动设定碰撞能（ACE）技术，这就大大地简化了MSn的优化工作，使这个强大的工具变得更轻松、更常规化。所确定的碰撞能值需要确保最大化地产生有代表性的产物离子，这就意味着要采用不同的碰撞能值做大量的分离实验。这些实验结果被手动估算，从而确定哪个设定值能够得到最大的产物离子强度。 任何变化 — 例如利用缓冲气设定值增加灵敏度-需要重复的过程。加上更多的混合物，更复杂的化合物，这个条件优化就变得非常耗时了。</w:t>
      </w:r>
      <w:r>
        <w:rPr>
          <w:sz w:val="18"/>
          <w:szCs w:val="18"/>
          <w:shd w:val="clear" w:fill="F1F3F5"/>
        </w:rPr>
        <w:br w:type="textWrapping"/>
      </w:r>
      <w:r>
        <w:rPr>
          <w:sz w:val="18"/>
          <w:szCs w:val="18"/>
          <w:shd w:val="clear" w:fill="F1F3F5"/>
        </w:rPr>
        <w:t>ACE以运行扫描的参数为基础自动估算出最理想的碰撞能值。由于离子被断裂成碎片的难易程度不同，所以碰撞能值只能是一个估算值。ACE在一次扫描中运行三个能量值以确保最理想的断裂和产物离子产量。这个最理想的能量值不再需要被确定-ACE覆盖你每次运行MSn所需的基数。如果你想在一个固定的碰撞能值下运行，最理想的碰撞能值利用ACE给出的良好的起始点来计算。</w:t>
      </w:r>
      <w:r>
        <w:rPr>
          <w:sz w:val="18"/>
          <w:szCs w:val="18"/>
          <w:shd w:val="clear" w:fill="F1F3F5"/>
        </w:rPr>
        <w:br w:type="textWrapping"/>
      </w:r>
      <w:r>
        <w:rPr>
          <w:sz w:val="18"/>
          <w:szCs w:val="18"/>
          <w:shd w:val="clear" w:fill="F1F3F5"/>
        </w:rPr>
        <w:t>每次扫描有三个碰撞能值 –估算的最理想值加上一个较低和一个较高值</w:t>
      </w:r>
      <w:r>
        <w:rPr>
          <w:sz w:val="18"/>
          <w:szCs w:val="18"/>
          <w:shd w:val="clear" w:fill="F1F3F5"/>
        </w:rPr>
        <w:br w:type="textWrapping"/>
      </w:r>
      <w:r>
        <w:rPr>
          <w:sz w:val="18"/>
          <w:szCs w:val="18"/>
          <w:shd w:val="clear" w:fill="F1F3F5"/>
        </w:rPr>
        <w:t>常规使用中，轻松运用MSn功能</w:t>
      </w:r>
      <w:r>
        <w:rPr>
          <w:sz w:val="18"/>
          <w:szCs w:val="18"/>
          <w:shd w:val="clear" w:fill="F1F3F5"/>
        </w:rPr>
        <w:br w:type="textWrapping"/>
      </w:r>
      <w:r>
        <w:rPr>
          <w:sz w:val="18"/>
          <w:szCs w:val="18"/>
          <w:shd w:val="clear" w:fill="F1F3F5"/>
        </w:rPr>
        <w:t>为手动设定方法简化起始点</w:t>
      </w:r>
      <w:r>
        <w:rPr>
          <w:sz w:val="18"/>
          <w:szCs w:val="18"/>
          <w:shd w:val="clear" w:fill="F1F3F5"/>
        </w:rPr>
        <w:br w:type="textWrapping"/>
      </w:r>
      <w:r>
        <w:rPr>
          <w:rStyle w:val="6"/>
          <w:sz w:val="18"/>
          <w:szCs w:val="18"/>
          <w:shd w:val="clear" w:fill="F1F3F5"/>
        </w:rPr>
        <w:t>高级脉冲解裂模式-提高MS/MS质量</w:t>
      </w:r>
      <w:r>
        <w:rPr>
          <w:sz w:val="18"/>
          <w:szCs w:val="18"/>
          <w:shd w:val="clear" w:fill="F1F3F5"/>
        </w:rPr>
        <w:br w:type="textWrapping"/>
      </w:r>
      <w:r>
        <w:rPr>
          <w:sz w:val="18"/>
          <w:szCs w:val="18"/>
          <w:shd w:val="clear" w:fill="F1F3F5"/>
        </w:rPr>
        <w:t>PQD专利技术以用于液相色谱上-线性离子阱质谱仪。这个高级技术现被用在ITQ 1100 GC/MSn系统中。PQD用来产生质谱数据，其在质量方面类似于使用标准的碰撞诱导分裂（CID）所产生的数据。关键的不同是PQD提高了质谱图的整体质量，特别是低质量范围，它能让你看到低m/z 的碎片，通常在CID质谱图中被排除掉的部分。PQD也能让你进入更高能量分裂通路。PQD是一种脉冲式碎片断裂途径。脉冲式在高Q状态下前级离子激活，停留一段时间后，前级离子变成碎片，接着一个快速脉冲达到低Q，此刻所有碎片离子被捕获。然后，从离子阱中出来的产物离子被扫描和检测。</w:t>
      </w:r>
      <w:r>
        <w:rPr>
          <w:sz w:val="18"/>
          <w:szCs w:val="18"/>
          <w:shd w:val="clear" w:fill="F1F3F5"/>
        </w:rPr>
        <w:br w:type="textWrapping"/>
      </w:r>
      <w:r>
        <w:rPr>
          <w:sz w:val="18"/>
          <w:szCs w:val="18"/>
          <w:shd w:val="clear" w:fill="F1F3F5"/>
        </w:rPr>
        <w:t>获得信息 — 丰富的质谱数据, 即使在低质量范围</w:t>
      </w:r>
      <w:r>
        <w:rPr>
          <w:sz w:val="18"/>
          <w:szCs w:val="18"/>
          <w:shd w:val="clear" w:fill="F1F3F5"/>
        </w:rPr>
        <w:br w:type="textWrapping"/>
      </w:r>
      <w:r>
        <w:rPr>
          <w:sz w:val="18"/>
          <w:szCs w:val="18"/>
          <w:shd w:val="clear" w:fill="F1F3F5"/>
        </w:rPr>
        <w:t>消除了低质量碎片丢失</w:t>
      </w:r>
      <w:r>
        <w:rPr>
          <w:sz w:val="18"/>
          <w:szCs w:val="18"/>
          <w:shd w:val="clear" w:fill="F1F3F5"/>
        </w:rPr>
        <w:br w:type="textWrapping"/>
      </w:r>
      <w:r>
        <w:rPr>
          <w:sz w:val="18"/>
          <w:szCs w:val="18"/>
          <w:shd w:val="clear" w:fill="F1F3F5"/>
        </w:rPr>
        <w:t>获得精确的、可重现的裂解</w:t>
      </w:r>
      <w:r>
        <w:rPr>
          <w:sz w:val="18"/>
          <w:szCs w:val="18"/>
          <w:shd w:val="clear" w:fill="F1F3F5"/>
        </w:rPr>
        <w:br w:type="textWrapping"/>
      </w:r>
      <w:r>
        <w:rPr>
          <w:sz w:val="18"/>
          <w:szCs w:val="18"/>
          <w:shd w:val="clear" w:fill="F1F3F5"/>
        </w:rPr>
        <w:t>Thermo Scientific ITQ 1100是离子阱的GC/MS系统的顶级产品，对于寻找最强大、最灵活GC/MS平台的实验室来说是最理想的。这个系统提供一个扩充的质量范围—达到1100 amu —增加了能够被检测和确认的化合物的数量。 先进的MSn功能—自动设定碰撞能(ACE)和我们的专利技术脉冲分裂模式（PQD）是ITQ 1100的标准配置。ITQ 1100的标准配置是全套最受欢迎的选项，包括250 L/s分子涡轮泵，真空锁定装置，MSn ，连续全扫描/MS-MS以及Data Dependent扫描。 可选项包括直接杆和化学离子化。</w:t>
      </w:r>
      <w:r>
        <w:rPr>
          <w:sz w:val="18"/>
          <w:szCs w:val="18"/>
          <w:shd w:val="clear" w:fill="F1F3F5"/>
        </w:rPr>
        <w:br w:type="textWrapping"/>
      </w:r>
      <w:r>
        <w:rPr>
          <w:sz w:val="18"/>
          <w:szCs w:val="18"/>
          <w:shd w:val="clear" w:fill="F1F3F5"/>
        </w:rPr>
        <w:t>1. 新的突破增强仪器性能而且使用轻松</w:t>
      </w:r>
      <w:r>
        <w:rPr>
          <w:sz w:val="18"/>
          <w:szCs w:val="18"/>
          <w:shd w:val="clear" w:fill="F1F3F5"/>
        </w:rPr>
        <w:br w:type="textWrapping"/>
      </w:r>
      <w:r>
        <w:rPr>
          <w:sz w:val="18"/>
          <w:szCs w:val="18"/>
          <w:shd w:val="clear" w:fill="F1F3F5"/>
        </w:rPr>
        <w:t>全新的ITQ 1100系统有两个高级运行模式，每个模式的设计旨在支持你实验室对高级GC/MS平台的需求。自动设定碰撞能（ACE）是通过自动地确定为碰撞诱导分裂步骤所设定的适当的能量值来简化MSn方法学的开发。MS/MS实验开发比较容易，你的实验室可以轻松的运用这个强大的技术，即使是常规应用。</w:t>
      </w:r>
      <w:r>
        <w:rPr>
          <w:sz w:val="18"/>
          <w:szCs w:val="18"/>
          <w:shd w:val="clear" w:fill="F1F3F5"/>
        </w:rPr>
        <w:br w:type="textWrapping"/>
      </w:r>
      <w:r>
        <w:rPr>
          <w:sz w:val="18"/>
          <w:szCs w:val="18"/>
          <w:shd w:val="clear" w:fill="F1F3F5"/>
        </w:rPr>
        <w:t>Thermo Scientific的专利技术脉冲分裂模式(PQD) 增加了CID过程中形成的产物离子的数量，为MSn定性实验产生更多的信息。这两个高级的功能与ITQ 1100系列一起让你的实验室显示出真正的MS/MS潜能，并且进入新的市场和应用领域。</w:t>
      </w:r>
      <w:r>
        <w:rPr>
          <w:sz w:val="18"/>
          <w:szCs w:val="18"/>
          <w:shd w:val="clear" w:fill="F1F3F5"/>
        </w:rPr>
        <w:br w:type="textWrapping"/>
      </w:r>
      <w:r>
        <w:rPr>
          <w:sz w:val="18"/>
          <w:szCs w:val="18"/>
          <w:shd w:val="clear" w:fill="F1F3F5"/>
        </w:rPr>
        <w:t>2. 迅速地恢复性能或者更换模式</w:t>
      </w:r>
      <w:r>
        <w:rPr>
          <w:sz w:val="18"/>
          <w:szCs w:val="18"/>
          <w:shd w:val="clear" w:fill="F1F3F5"/>
        </w:rPr>
        <w:br w:type="textWrapping"/>
      </w:r>
      <w:r>
        <w:rPr>
          <w:sz w:val="18"/>
          <w:szCs w:val="18"/>
          <w:shd w:val="clear" w:fill="F1F3F5"/>
        </w:rPr>
        <w:t>ITQ 1100 的标准配置带有真空锁定系统。这个系统允许我们在没有放空分析器的前提下在源内插入或者移除离子源体。抽取式离子源体提供了多种附加功能并且方便了所有类型的分析。利用该系统，你无需破坏真空就可以更换离子源体。迅速地更换脏的离子源体恢复响应因子。可选项化学离子化，你能够在EI和CI以及复原之间切换。做这些变换都不需要放空分析器。通过使用专门设计的离子源体，进一步优化EI和CI操作模式所获得的数据质量，根据离子化模式不同，所开发的每种模式都能提供最理想的性能。</w:t>
      </w:r>
      <w:r>
        <w:rPr>
          <w:sz w:val="18"/>
          <w:szCs w:val="18"/>
          <w:shd w:val="clear" w:fill="F1F3F5"/>
        </w:rPr>
        <w:br w:type="textWrapping"/>
      </w:r>
      <w:r>
        <w:rPr>
          <w:sz w:val="18"/>
          <w:szCs w:val="18"/>
          <w:shd w:val="clear" w:fill="F1F3F5"/>
        </w:rPr>
        <w:t>3. Data Dependent 扫描有助于方法开发</w:t>
      </w:r>
      <w:r>
        <w:rPr>
          <w:sz w:val="18"/>
          <w:szCs w:val="18"/>
          <w:shd w:val="clear" w:fill="F1F3F5"/>
        </w:rPr>
        <w:br w:type="textWrapping"/>
      </w:r>
      <w:r>
        <w:rPr>
          <w:sz w:val="18"/>
          <w:szCs w:val="18"/>
          <w:shd w:val="clear" w:fill="F1F3F5"/>
        </w:rPr>
        <w:t>数据依靠型扫描对于动态和复杂的定量分析来讲是一个强大而节约时间的工具。数据依靠型扫描的算法为离子与所给的质量选择设定进行匹配查找质谱数据。以强度分类的、取决于在连续事件中用作MS/MS扫描的质量列表来编译离子列表。即使事先不知道分析过程中会出现什么样的特定前级离子， 数据依靠扫描也可以编写MSn方法。无需花费时间运行多种方法就可以获得额外数据。你会从可进行谱库检索的全扫描质谱数据和额外的来自于多级MS数据的结构信息中受益。</w:t>
      </w:r>
      <w:r>
        <w:rPr>
          <w:sz w:val="18"/>
          <w:szCs w:val="18"/>
          <w:shd w:val="clear" w:fill="F1F3F5"/>
        </w:rPr>
        <w:br w:type="textWrapping"/>
      </w:r>
      <w:r>
        <w:rPr>
          <w:sz w:val="18"/>
          <w:szCs w:val="18"/>
          <w:shd w:val="clear" w:fill="F1F3F5"/>
        </w:rPr>
        <w:t>利用[M+29]+和[M+41]+甲烷CI加合物离子，离子比率相关性法则能够被用来查找[M+H]+离子。[M+H]+离子的MS/MS产物离子谱图显示了离子对于共流混合物分离成质量色谱的必要性。</w:t>
      </w:r>
      <w:r>
        <w:rPr>
          <w:sz w:val="18"/>
          <w:szCs w:val="18"/>
          <w:shd w:val="clear" w:fill="F1F3F5"/>
        </w:rPr>
        <w:br w:type="textWrapping"/>
      </w:r>
      <w:r>
        <w:rPr>
          <w:rStyle w:val="6"/>
          <w:sz w:val="18"/>
          <w:szCs w:val="18"/>
          <w:shd w:val="clear" w:fill="F1F3F5"/>
        </w:rPr>
        <w:t>三、产品特点：</w:t>
      </w:r>
      <w:r>
        <w:rPr>
          <w:sz w:val="18"/>
          <w:szCs w:val="18"/>
          <w:shd w:val="clear" w:fill="F1F3F5"/>
        </w:rPr>
        <w:br w:type="textWrapping"/>
      </w:r>
      <w:r>
        <w:rPr>
          <w:sz w:val="18"/>
          <w:szCs w:val="18"/>
          <w:shd w:val="clear" w:fill="F1F3F5"/>
        </w:rPr>
        <w:t>标准配置的特征：</w:t>
      </w:r>
      <w:r>
        <w:rPr>
          <w:sz w:val="18"/>
          <w:szCs w:val="18"/>
          <w:shd w:val="clear" w:fill="F1F3F5"/>
        </w:rPr>
        <w:br w:type="textWrapping"/>
      </w:r>
      <w:r>
        <w:rPr>
          <w:sz w:val="18"/>
          <w:szCs w:val="18"/>
          <w:shd w:val="clear" w:fill="F1F3F5"/>
        </w:rPr>
        <w:t>1. 外部离子化离子源</w:t>
      </w:r>
      <w:r>
        <w:rPr>
          <w:sz w:val="18"/>
          <w:szCs w:val="18"/>
          <w:shd w:val="clear" w:fill="F1F3F5"/>
        </w:rPr>
        <w:br w:type="textWrapping"/>
      </w:r>
      <w:r>
        <w:rPr>
          <w:sz w:val="18"/>
          <w:szCs w:val="18"/>
          <w:shd w:val="clear" w:fill="F1F3F5"/>
        </w:rPr>
        <w:t>2. 扫描范围10-1100 amu</w:t>
      </w:r>
      <w:r>
        <w:rPr>
          <w:sz w:val="18"/>
          <w:szCs w:val="18"/>
          <w:shd w:val="clear" w:fill="F1F3F5"/>
        </w:rPr>
        <w:br w:type="textWrapping"/>
      </w:r>
      <w:r>
        <w:rPr>
          <w:sz w:val="18"/>
          <w:szCs w:val="18"/>
          <w:shd w:val="clear" w:fill="F1F3F5"/>
        </w:rPr>
        <w:t>3. 最大灵敏度的EI全扫描GC/离子阱MS</w:t>
      </w:r>
      <w:r>
        <w:rPr>
          <w:sz w:val="18"/>
          <w:szCs w:val="18"/>
          <w:shd w:val="clear" w:fill="F1F3F5"/>
        </w:rPr>
        <w:br w:type="textWrapping"/>
      </w:r>
      <w:r>
        <w:rPr>
          <w:sz w:val="18"/>
          <w:szCs w:val="18"/>
          <w:shd w:val="clear" w:fill="F1F3F5"/>
        </w:rPr>
        <w:t>4. 250 L/s 分子涡轮泵</w:t>
      </w:r>
      <w:r>
        <w:rPr>
          <w:sz w:val="18"/>
          <w:szCs w:val="18"/>
          <w:shd w:val="clear" w:fill="F1F3F5"/>
        </w:rPr>
        <w:br w:type="textWrapping"/>
      </w:r>
      <w:r>
        <w:rPr>
          <w:sz w:val="18"/>
          <w:szCs w:val="18"/>
          <w:shd w:val="clear" w:fill="F1F3F5"/>
        </w:rPr>
        <w:t>5. MSn 做MS/MS实验</w:t>
      </w:r>
      <w:r>
        <w:rPr>
          <w:sz w:val="18"/>
          <w:szCs w:val="18"/>
          <w:shd w:val="clear" w:fill="F1F3F5"/>
        </w:rPr>
        <w:br w:type="textWrapping"/>
      </w:r>
      <w:r>
        <w:rPr>
          <w:sz w:val="18"/>
          <w:szCs w:val="18"/>
          <w:shd w:val="clear" w:fill="F1F3F5"/>
        </w:rPr>
        <w:t>6. 自动设定碰撞能</w:t>
      </w:r>
      <w:r>
        <w:rPr>
          <w:sz w:val="18"/>
          <w:szCs w:val="18"/>
          <w:shd w:val="clear" w:fill="F1F3F5"/>
        </w:rPr>
        <w:br w:type="textWrapping"/>
      </w:r>
      <w:r>
        <w:rPr>
          <w:sz w:val="18"/>
          <w:szCs w:val="18"/>
          <w:shd w:val="clear" w:fill="F1F3F5"/>
        </w:rPr>
        <w:t>7. 脉冲Q分裂模式</w:t>
      </w:r>
      <w:r>
        <w:rPr>
          <w:sz w:val="18"/>
          <w:szCs w:val="18"/>
          <w:shd w:val="clear" w:fill="F1F3F5"/>
        </w:rPr>
        <w:br w:type="textWrapping"/>
      </w:r>
      <w:r>
        <w:rPr>
          <w:sz w:val="18"/>
          <w:szCs w:val="18"/>
          <w:shd w:val="clear" w:fill="F1F3F5"/>
        </w:rPr>
        <w:t>8. 空锁定装置—无需放空分析器，轻松维护源</w:t>
      </w:r>
      <w:r>
        <w:rPr>
          <w:sz w:val="18"/>
          <w:szCs w:val="18"/>
          <w:shd w:val="clear" w:fill="F1F3F5"/>
        </w:rPr>
        <w:br w:type="textWrapping"/>
      </w:r>
      <w:r>
        <w:rPr>
          <w:sz w:val="18"/>
          <w:szCs w:val="18"/>
          <w:shd w:val="clear" w:fill="F1F3F5"/>
        </w:rPr>
        <w:t>9. 智能的数据依靠扫描</w:t>
      </w:r>
      <w:r>
        <w:rPr>
          <w:sz w:val="18"/>
          <w:szCs w:val="18"/>
          <w:shd w:val="clear" w:fill="F1F3F5"/>
        </w:rPr>
        <w:br w:type="textWrapping"/>
      </w:r>
      <w:r>
        <w:rPr>
          <w:sz w:val="18"/>
          <w:szCs w:val="18"/>
          <w:shd w:val="clear" w:fill="F1F3F5"/>
        </w:rPr>
        <w:t>10. 强大的Xcalibur数据系统—用于仪器运行，数据分析和报告</w:t>
      </w:r>
      <w:r>
        <w:rPr>
          <w:sz w:val="18"/>
          <w:szCs w:val="18"/>
          <w:shd w:val="clear" w:fill="F1F3F5"/>
        </w:rPr>
        <w:br w:type="textWrapping"/>
      </w:r>
      <w:r>
        <w:rPr>
          <w:sz w:val="18"/>
          <w:szCs w:val="18"/>
          <w:shd w:val="clear" w:fill="F1F3F5"/>
        </w:rPr>
        <w:t>11. TRACE GC Ultra—高性能GC，带有多种检测器和进样口选项，获得强大的分离和检测能力</w:t>
      </w:r>
      <w:r>
        <w:rPr>
          <w:sz w:val="18"/>
          <w:szCs w:val="18"/>
          <w:shd w:val="clear" w:fill="F1F3F5"/>
        </w:rPr>
        <w:br w:type="textWrapping"/>
      </w:r>
      <w:r>
        <w:rPr>
          <w:sz w:val="18"/>
          <w:szCs w:val="18"/>
          <w:shd w:val="clear" w:fill="F1F3F5"/>
        </w:rPr>
        <w:t>升级可选项：</w:t>
      </w:r>
      <w:r>
        <w:rPr>
          <w:sz w:val="18"/>
          <w:szCs w:val="18"/>
          <w:shd w:val="clear" w:fill="F1F3F5"/>
        </w:rPr>
        <w:br w:type="textWrapping"/>
      </w:r>
      <w:r>
        <w:rPr>
          <w:sz w:val="18"/>
          <w:szCs w:val="18"/>
          <w:shd w:val="clear" w:fill="F1F3F5"/>
        </w:rPr>
        <w:t>1. 化学离子化,包括 PPINICI —— 扩展你的分析能力</w:t>
      </w:r>
      <w:r>
        <w:rPr>
          <w:sz w:val="18"/>
          <w:szCs w:val="18"/>
          <w:shd w:val="clear" w:fill="F1F3F5"/>
        </w:rPr>
        <w:br w:type="textWrapping"/>
      </w:r>
      <w:r>
        <w:rPr>
          <w:sz w:val="18"/>
          <w:szCs w:val="18"/>
          <w:shd w:val="clear" w:fill="F1F3F5"/>
        </w:rPr>
        <w:t>2. 添加GC检测器, 加上广泛的进样口选择</w:t>
      </w:r>
      <w:r>
        <w:rPr>
          <w:sz w:val="18"/>
          <w:szCs w:val="18"/>
          <w:shd w:val="clear" w:fill="F1F3F5"/>
        </w:rPr>
        <w:br w:type="textWrapping"/>
      </w:r>
      <w:r>
        <w:rPr>
          <w:sz w:val="18"/>
          <w:szCs w:val="18"/>
          <w:shd w:val="clear" w:fill="F1F3F5"/>
        </w:rPr>
        <w:t>附加价值Thermo Scientific 软件选项：</w:t>
      </w:r>
      <w:r>
        <w:rPr>
          <w:sz w:val="18"/>
          <w:szCs w:val="18"/>
          <w:shd w:val="clear" w:fill="F1F3F5"/>
        </w:rPr>
        <w:br w:type="textWrapping"/>
      </w:r>
      <w:r>
        <w:rPr>
          <w:sz w:val="18"/>
          <w:szCs w:val="18"/>
          <w:shd w:val="clear" w:fill="F1F3F5"/>
        </w:rPr>
        <w:t>1. QuanLab Forms,ToxLab Forms, 和EnviroLab Forms —— 符合你实验室工作流程的软件</w:t>
      </w:r>
      <w:r>
        <w:rPr>
          <w:sz w:val="18"/>
          <w:szCs w:val="18"/>
          <w:shd w:val="clear" w:fill="F1F3F5"/>
        </w:rPr>
        <w:br w:type="textWrapping"/>
      </w:r>
      <w:r>
        <w:rPr>
          <w:sz w:val="18"/>
          <w:szCs w:val="18"/>
          <w:shd w:val="clear" w:fill="F1F3F5"/>
        </w:rPr>
        <w:t>2. Mass Frontier™ —— 用于结构解析和碎片研究</w:t>
      </w:r>
    </w:p>
    <w:p/>
    <w:p/>
    <w:p/>
    <w:sectPr>
      <w:headerReference r:id="rId3" w:type="default"/>
      <w:headerReference r:id="rId4" w:type="even"/>
      <w:pgSz w:w="11906" w:h="16838"/>
      <w:pgMar w:top="1440" w:right="1800" w:bottom="1440" w:left="1800" w:header="567" w:footer="567"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00" w:lineRule="atLeast"/>
      <w:jc w:val="left"/>
    </w:pPr>
    <w:r>
      <w:drawing>
        <wp:inline distT="0" distB="0" distL="114300" distR="114300">
          <wp:extent cx="2090420" cy="554355"/>
          <wp:effectExtent l="0" t="0" r="5080" b="17145"/>
          <wp:docPr id="2" name="图片 2" descr="C:\Documents and Settings\Administrator\桌面\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Documents and Settings\Administrator\桌面\未标题-1.jpg"/>
                  <pic:cNvPicPr>
                    <a:picLocks noChangeAspect="1"/>
                  </pic:cNvPicPr>
                </pic:nvPicPr>
                <pic:blipFill>
                  <a:blip r:embed="rId1"/>
                  <a:stretch>
                    <a:fillRect/>
                  </a:stretch>
                </pic:blipFill>
                <pic:spPr>
                  <a:xfrm>
                    <a:off x="0" y="0"/>
                    <a:ext cx="2090420" cy="554355"/>
                  </a:xfrm>
                  <a:prstGeom prst="rect">
                    <a:avLst/>
                  </a:prstGeom>
                  <a:noFill/>
                  <a:ln w="9525">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0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82"/>
    <w:rsid w:val="00001FFD"/>
    <w:rsid w:val="0000535D"/>
    <w:rsid w:val="0000796E"/>
    <w:rsid w:val="00010CF7"/>
    <w:rsid w:val="00020D10"/>
    <w:rsid w:val="00023C8E"/>
    <w:rsid w:val="00056665"/>
    <w:rsid w:val="00057130"/>
    <w:rsid w:val="0005719D"/>
    <w:rsid w:val="0006639F"/>
    <w:rsid w:val="00070389"/>
    <w:rsid w:val="0007199B"/>
    <w:rsid w:val="00077F4D"/>
    <w:rsid w:val="000800FA"/>
    <w:rsid w:val="000906FF"/>
    <w:rsid w:val="0009299E"/>
    <w:rsid w:val="00095256"/>
    <w:rsid w:val="000A5FB8"/>
    <w:rsid w:val="000E38FF"/>
    <w:rsid w:val="000F56C7"/>
    <w:rsid w:val="00102FD9"/>
    <w:rsid w:val="00104AC2"/>
    <w:rsid w:val="00111BA1"/>
    <w:rsid w:val="001214EA"/>
    <w:rsid w:val="001325FD"/>
    <w:rsid w:val="001407F6"/>
    <w:rsid w:val="00140B16"/>
    <w:rsid w:val="00142E1E"/>
    <w:rsid w:val="00146D8D"/>
    <w:rsid w:val="001552B8"/>
    <w:rsid w:val="00161845"/>
    <w:rsid w:val="00166425"/>
    <w:rsid w:val="00166EC7"/>
    <w:rsid w:val="0017577C"/>
    <w:rsid w:val="00176400"/>
    <w:rsid w:val="00185972"/>
    <w:rsid w:val="00193E7D"/>
    <w:rsid w:val="001966F0"/>
    <w:rsid w:val="001C4C41"/>
    <w:rsid w:val="001D0D46"/>
    <w:rsid w:val="001D3FE7"/>
    <w:rsid w:val="001D457B"/>
    <w:rsid w:val="001D6252"/>
    <w:rsid w:val="001E2F6B"/>
    <w:rsid w:val="001F1EF1"/>
    <w:rsid w:val="001F4A17"/>
    <w:rsid w:val="001F5195"/>
    <w:rsid w:val="001F5C24"/>
    <w:rsid w:val="00201F3E"/>
    <w:rsid w:val="002049F4"/>
    <w:rsid w:val="00214FCA"/>
    <w:rsid w:val="002226FD"/>
    <w:rsid w:val="00241579"/>
    <w:rsid w:val="002A7770"/>
    <w:rsid w:val="002B1764"/>
    <w:rsid w:val="002B3FE9"/>
    <w:rsid w:val="002C7E75"/>
    <w:rsid w:val="002D6244"/>
    <w:rsid w:val="002E2D84"/>
    <w:rsid w:val="002E5F0D"/>
    <w:rsid w:val="002F37EB"/>
    <w:rsid w:val="00312456"/>
    <w:rsid w:val="003125E5"/>
    <w:rsid w:val="00313476"/>
    <w:rsid w:val="003156A4"/>
    <w:rsid w:val="00323B43"/>
    <w:rsid w:val="003378AB"/>
    <w:rsid w:val="00356274"/>
    <w:rsid w:val="00356C81"/>
    <w:rsid w:val="003609A4"/>
    <w:rsid w:val="0036126B"/>
    <w:rsid w:val="00372778"/>
    <w:rsid w:val="00377D7A"/>
    <w:rsid w:val="0038242E"/>
    <w:rsid w:val="00393835"/>
    <w:rsid w:val="0039456D"/>
    <w:rsid w:val="003B0E01"/>
    <w:rsid w:val="003C5CDE"/>
    <w:rsid w:val="003D37D8"/>
    <w:rsid w:val="003D3D60"/>
    <w:rsid w:val="003D7270"/>
    <w:rsid w:val="003E5C63"/>
    <w:rsid w:val="003F79FB"/>
    <w:rsid w:val="004032DE"/>
    <w:rsid w:val="004057B6"/>
    <w:rsid w:val="00417F06"/>
    <w:rsid w:val="00425C4E"/>
    <w:rsid w:val="0042748D"/>
    <w:rsid w:val="00430AF0"/>
    <w:rsid w:val="0043291E"/>
    <w:rsid w:val="004358AB"/>
    <w:rsid w:val="0044190B"/>
    <w:rsid w:val="00451536"/>
    <w:rsid w:val="00460949"/>
    <w:rsid w:val="0046555A"/>
    <w:rsid w:val="004674DE"/>
    <w:rsid w:val="00473DC8"/>
    <w:rsid w:val="00475C6C"/>
    <w:rsid w:val="00476CA7"/>
    <w:rsid w:val="0048228E"/>
    <w:rsid w:val="004853FC"/>
    <w:rsid w:val="004B271D"/>
    <w:rsid w:val="004D670A"/>
    <w:rsid w:val="004F0AF9"/>
    <w:rsid w:val="004F65EF"/>
    <w:rsid w:val="005026C9"/>
    <w:rsid w:val="005133CC"/>
    <w:rsid w:val="005233CC"/>
    <w:rsid w:val="0053666F"/>
    <w:rsid w:val="0055078D"/>
    <w:rsid w:val="00554768"/>
    <w:rsid w:val="00556D11"/>
    <w:rsid w:val="00560BFE"/>
    <w:rsid w:val="00561C3A"/>
    <w:rsid w:val="00562A12"/>
    <w:rsid w:val="00592790"/>
    <w:rsid w:val="00592882"/>
    <w:rsid w:val="005954C4"/>
    <w:rsid w:val="00596E45"/>
    <w:rsid w:val="00597E81"/>
    <w:rsid w:val="005D4E15"/>
    <w:rsid w:val="005E2EFF"/>
    <w:rsid w:val="005E487C"/>
    <w:rsid w:val="005F13B3"/>
    <w:rsid w:val="00600713"/>
    <w:rsid w:val="006055EC"/>
    <w:rsid w:val="00637809"/>
    <w:rsid w:val="00656046"/>
    <w:rsid w:val="00671289"/>
    <w:rsid w:val="00672B21"/>
    <w:rsid w:val="006738F6"/>
    <w:rsid w:val="006A44F8"/>
    <w:rsid w:val="006A6FC4"/>
    <w:rsid w:val="006B3F52"/>
    <w:rsid w:val="006D01E7"/>
    <w:rsid w:val="006D78FE"/>
    <w:rsid w:val="006E266A"/>
    <w:rsid w:val="006E3730"/>
    <w:rsid w:val="0071083F"/>
    <w:rsid w:val="00717922"/>
    <w:rsid w:val="007202A5"/>
    <w:rsid w:val="00721C9D"/>
    <w:rsid w:val="0072351B"/>
    <w:rsid w:val="00733CEF"/>
    <w:rsid w:val="00742A61"/>
    <w:rsid w:val="00746382"/>
    <w:rsid w:val="00785F11"/>
    <w:rsid w:val="00796113"/>
    <w:rsid w:val="007A312D"/>
    <w:rsid w:val="007A76E9"/>
    <w:rsid w:val="007B550E"/>
    <w:rsid w:val="007B5AB4"/>
    <w:rsid w:val="007B776D"/>
    <w:rsid w:val="007C7D81"/>
    <w:rsid w:val="007E030B"/>
    <w:rsid w:val="007F3D2B"/>
    <w:rsid w:val="00800E23"/>
    <w:rsid w:val="00814942"/>
    <w:rsid w:val="00823E3D"/>
    <w:rsid w:val="00832399"/>
    <w:rsid w:val="00892C97"/>
    <w:rsid w:val="008A1EF4"/>
    <w:rsid w:val="008A2391"/>
    <w:rsid w:val="008A4CD6"/>
    <w:rsid w:val="008B22D6"/>
    <w:rsid w:val="008B3D1D"/>
    <w:rsid w:val="008B4198"/>
    <w:rsid w:val="008B6A82"/>
    <w:rsid w:val="008B7726"/>
    <w:rsid w:val="008C0F35"/>
    <w:rsid w:val="008D030D"/>
    <w:rsid w:val="008D526D"/>
    <w:rsid w:val="008D6C14"/>
    <w:rsid w:val="008D7778"/>
    <w:rsid w:val="008D7CFD"/>
    <w:rsid w:val="008E1B45"/>
    <w:rsid w:val="008E4BE3"/>
    <w:rsid w:val="008E7786"/>
    <w:rsid w:val="008F308B"/>
    <w:rsid w:val="00901ABC"/>
    <w:rsid w:val="00902BAB"/>
    <w:rsid w:val="00916781"/>
    <w:rsid w:val="00920FCD"/>
    <w:rsid w:val="00922B11"/>
    <w:rsid w:val="00924723"/>
    <w:rsid w:val="00945600"/>
    <w:rsid w:val="00955A65"/>
    <w:rsid w:val="00961688"/>
    <w:rsid w:val="00961C00"/>
    <w:rsid w:val="009652EB"/>
    <w:rsid w:val="00965E6F"/>
    <w:rsid w:val="00970214"/>
    <w:rsid w:val="00976E8F"/>
    <w:rsid w:val="00981F01"/>
    <w:rsid w:val="009878ED"/>
    <w:rsid w:val="009A02FC"/>
    <w:rsid w:val="009A7A0D"/>
    <w:rsid w:val="009B5E4C"/>
    <w:rsid w:val="009B6A2F"/>
    <w:rsid w:val="009C1377"/>
    <w:rsid w:val="009E1B6D"/>
    <w:rsid w:val="009E4277"/>
    <w:rsid w:val="009E4515"/>
    <w:rsid w:val="009E6B3F"/>
    <w:rsid w:val="009F15E5"/>
    <w:rsid w:val="009F5184"/>
    <w:rsid w:val="00A054B0"/>
    <w:rsid w:val="00A12DB7"/>
    <w:rsid w:val="00A3673A"/>
    <w:rsid w:val="00A423E8"/>
    <w:rsid w:val="00A57ACA"/>
    <w:rsid w:val="00A65046"/>
    <w:rsid w:val="00A65AE4"/>
    <w:rsid w:val="00A66EFB"/>
    <w:rsid w:val="00A722AE"/>
    <w:rsid w:val="00A738E5"/>
    <w:rsid w:val="00A73FA5"/>
    <w:rsid w:val="00A751E8"/>
    <w:rsid w:val="00A82351"/>
    <w:rsid w:val="00A93B60"/>
    <w:rsid w:val="00A93C52"/>
    <w:rsid w:val="00AA222F"/>
    <w:rsid w:val="00AA3D06"/>
    <w:rsid w:val="00AA4A68"/>
    <w:rsid w:val="00AA74CD"/>
    <w:rsid w:val="00AA75E8"/>
    <w:rsid w:val="00AB5AD2"/>
    <w:rsid w:val="00AC0CCB"/>
    <w:rsid w:val="00AC430B"/>
    <w:rsid w:val="00AD058C"/>
    <w:rsid w:val="00AD5D1A"/>
    <w:rsid w:val="00AE0BE0"/>
    <w:rsid w:val="00AE4866"/>
    <w:rsid w:val="00AF3753"/>
    <w:rsid w:val="00AF475E"/>
    <w:rsid w:val="00AF5EB5"/>
    <w:rsid w:val="00B0219B"/>
    <w:rsid w:val="00B15D88"/>
    <w:rsid w:val="00B16E19"/>
    <w:rsid w:val="00B44E6A"/>
    <w:rsid w:val="00B52008"/>
    <w:rsid w:val="00B60557"/>
    <w:rsid w:val="00B85CE2"/>
    <w:rsid w:val="00B862C1"/>
    <w:rsid w:val="00B9632D"/>
    <w:rsid w:val="00BA1A49"/>
    <w:rsid w:val="00BA607E"/>
    <w:rsid w:val="00BB7730"/>
    <w:rsid w:val="00BC280C"/>
    <w:rsid w:val="00BD4954"/>
    <w:rsid w:val="00BE0E51"/>
    <w:rsid w:val="00BE382E"/>
    <w:rsid w:val="00BF3F38"/>
    <w:rsid w:val="00C0187F"/>
    <w:rsid w:val="00C0644E"/>
    <w:rsid w:val="00C11B7D"/>
    <w:rsid w:val="00C46CC9"/>
    <w:rsid w:val="00C53AA7"/>
    <w:rsid w:val="00C65647"/>
    <w:rsid w:val="00C852F2"/>
    <w:rsid w:val="00C91FCF"/>
    <w:rsid w:val="00C939B3"/>
    <w:rsid w:val="00C97CEF"/>
    <w:rsid w:val="00CB4AB1"/>
    <w:rsid w:val="00CB79DF"/>
    <w:rsid w:val="00CC098F"/>
    <w:rsid w:val="00CC30A0"/>
    <w:rsid w:val="00CE132F"/>
    <w:rsid w:val="00CF75E1"/>
    <w:rsid w:val="00D202B4"/>
    <w:rsid w:val="00D27103"/>
    <w:rsid w:val="00D36772"/>
    <w:rsid w:val="00D42647"/>
    <w:rsid w:val="00D638F5"/>
    <w:rsid w:val="00D65942"/>
    <w:rsid w:val="00D66E58"/>
    <w:rsid w:val="00D67752"/>
    <w:rsid w:val="00D77752"/>
    <w:rsid w:val="00D92041"/>
    <w:rsid w:val="00DA3212"/>
    <w:rsid w:val="00DB02A6"/>
    <w:rsid w:val="00DB171A"/>
    <w:rsid w:val="00DC0554"/>
    <w:rsid w:val="00DC1307"/>
    <w:rsid w:val="00DC2BC8"/>
    <w:rsid w:val="00DC2FED"/>
    <w:rsid w:val="00DE06BF"/>
    <w:rsid w:val="00DF3720"/>
    <w:rsid w:val="00E04EE3"/>
    <w:rsid w:val="00E125C3"/>
    <w:rsid w:val="00E267FB"/>
    <w:rsid w:val="00E35B2A"/>
    <w:rsid w:val="00E375F4"/>
    <w:rsid w:val="00E44014"/>
    <w:rsid w:val="00E44BFE"/>
    <w:rsid w:val="00E531B3"/>
    <w:rsid w:val="00E554C1"/>
    <w:rsid w:val="00E638F1"/>
    <w:rsid w:val="00E64827"/>
    <w:rsid w:val="00E86166"/>
    <w:rsid w:val="00EA0465"/>
    <w:rsid w:val="00ED1256"/>
    <w:rsid w:val="00EE0BF0"/>
    <w:rsid w:val="00EE632E"/>
    <w:rsid w:val="00EF4E8E"/>
    <w:rsid w:val="00F027A4"/>
    <w:rsid w:val="00F027C8"/>
    <w:rsid w:val="00F23B5F"/>
    <w:rsid w:val="00F42989"/>
    <w:rsid w:val="00F43664"/>
    <w:rsid w:val="00F471EE"/>
    <w:rsid w:val="00F47C58"/>
    <w:rsid w:val="00F5556B"/>
    <w:rsid w:val="00F73B71"/>
    <w:rsid w:val="00F9014A"/>
    <w:rsid w:val="00F936CC"/>
    <w:rsid w:val="00F9577E"/>
    <w:rsid w:val="00FA6C6D"/>
    <w:rsid w:val="00FB0C28"/>
    <w:rsid w:val="00FC650E"/>
    <w:rsid w:val="00FC78ED"/>
    <w:rsid w:val="00FD6906"/>
    <w:rsid w:val="00FF3A7A"/>
    <w:rsid w:val="03AA67B5"/>
    <w:rsid w:val="066C7BF8"/>
    <w:rsid w:val="31DB1D85"/>
    <w:rsid w:val="43EC75E8"/>
    <w:rsid w:val="5405582D"/>
    <w:rsid w:val="65D14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宋体" w:cs="Times New Roman"/>
      <w:kern w:val="2"/>
      <w:sz w:val="21"/>
      <w:szCs w:val="24"/>
      <w:lang w:val="en-US" w:eastAsia="zh-CN" w:bidi="ar-SA"/>
    </w:rPr>
  </w:style>
  <w:style w:type="character" w:default="1" w:styleId="5">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pPr>
    <w:rPr>
      <w:sz w:val="18"/>
      <w:szCs w:val="18"/>
    </w:rPr>
  </w:style>
  <w:style w:type="paragraph" w:styleId="3">
    <w:name w:val="header"/>
    <w:basedOn w:val="1"/>
    <w:link w:val="12"/>
    <w:unhideWhenUsed/>
    <w:uiPriority w:val="0"/>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6">
    <w:name w:val="Strong"/>
    <w:basedOn w:val="5"/>
    <w:qFormat/>
    <w:uiPriority w:val="22"/>
    <w:rPr>
      <w:b/>
    </w:rPr>
  </w:style>
  <w:style w:type="character" w:styleId="7">
    <w:name w:val="FollowedHyperlink"/>
    <w:basedOn w:val="5"/>
    <w:unhideWhenUsed/>
    <w:uiPriority w:val="99"/>
    <w:rPr>
      <w:color w:val="222222"/>
      <w:u w:val="none"/>
    </w:rPr>
  </w:style>
  <w:style w:type="character" w:styleId="8">
    <w:name w:val="Emphasis"/>
    <w:basedOn w:val="5"/>
    <w:qFormat/>
    <w:uiPriority w:val="20"/>
    <w:rPr>
      <w:sz w:val="18"/>
      <w:szCs w:val="18"/>
    </w:rPr>
  </w:style>
  <w:style w:type="character" w:styleId="9">
    <w:name w:val="Hyperlink"/>
    <w:basedOn w:val="5"/>
    <w:unhideWhenUsed/>
    <w:qFormat/>
    <w:uiPriority w:val="99"/>
    <w:rPr>
      <w:color w:val="222222"/>
      <w:u w:val="none"/>
    </w:rPr>
  </w:style>
  <w:style w:type="table" w:styleId="11">
    <w:name w:val="Table Grid"/>
    <w:basedOn w:val="10"/>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1"/>
    <w:basedOn w:val="5"/>
    <w:link w:val="3"/>
    <w:qFormat/>
    <w:uiPriority w:val="99"/>
    <w:rPr>
      <w:rFonts w:ascii="Tahoma" w:hAnsi="Tahoma"/>
      <w:sz w:val="18"/>
      <w:szCs w:val="18"/>
    </w:rPr>
  </w:style>
  <w:style w:type="character" w:customStyle="1" w:styleId="13">
    <w:name w:val="页脚 Char"/>
    <w:basedOn w:val="5"/>
    <w:link w:val="2"/>
    <w:qFormat/>
    <w:uiPriority w:val="99"/>
    <w:rPr>
      <w:rFonts w:ascii="Tahoma" w:hAnsi="Tahoma"/>
      <w:sz w:val="18"/>
      <w:szCs w:val="18"/>
    </w:rPr>
  </w:style>
  <w:style w:type="character" w:customStyle="1" w:styleId="14">
    <w:name w:val="apple-converted-space"/>
    <w:basedOn w:val="5"/>
    <w:qFormat/>
    <w:uiPriority w:val="0"/>
  </w:style>
  <w:style w:type="character" w:customStyle="1" w:styleId="15">
    <w:name w:val="页眉 Char"/>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58</Words>
  <Characters>335</Characters>
  <Lines>2</Lines>
  <Paragraphs>1</Paragraphs>
  <ScaleCrop>false</ScaleCrop>
  <LinksUpToDate>false</LinksUpToDate>
  <CharactersWithSpaces>392</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2017-04-17T06:01:00Z</dcterms:created>
  <dc:creator>Administrator</dc:creator>
  <cp:lastModifiedBy>明义</cp:lastModifiedBy>
  <dcterms:modified xsi:type="dcterms:W3CDTF">2017-12-25T03:12:55Z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