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2" w:tblpY="315"/>
        <w:tblOverlap w:val="never"/>
        <w:tblW w:w="11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1869"/>
        <w:gridCol w:w="7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8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964" w:firstLineChars="400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sz w:val="24"/>
                <w:szCs w:val="24"/>
              </w:rPr>
              <w:t>ALC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25系列铁路信号源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964" w:firstLineChars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产品特点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958" w:leftChars="456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微处理器逻辑控制，DDS式正弦波生成，双极性全桥SPWM逆变；输出波形纯净；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宽的交流输入范围，输入电压波动范围±30%。输入与输出完全隔离；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输入端加有LC尖峰电压滤波器，可滤除电网的600V以下尖峰电压。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两路输出相互隔离，逆变控制隔离，不需要输出端加隔离变压器。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采用有源软开关功率因数校正，使输入功率因数达到0．99。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LCD、LED双重显示，清楚了解电源的各种状况及各项参数；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本机带有故障自测功能，对于故障可以自动检测、处理、报警。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输入双路切换时，模块可提供150毫秒的续流时间。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双机热备份切换时间小于25毫秒。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模块可以热备份并联使用，故障后在25毫秒内自动完成切换。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满足电磁兼容TB/T3073-2003，CLASS A级要求。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■ 电源屏设计符合铁路标准TB/T1528.1-2002《铁路信号电源屏第一部分  总则》、TB/T1528.7-2002《铁路信号电源屏  第7部分:25Hz信号电源屏》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239" w:leftChars="114" w:firstLine="720" w:firstLineChars="300"/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应用领域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958" w:leftChars="456" w:firstLine="0" w:firstLineChars="0"/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■外销电器/电子/电机制造厂    ■交换式电源供应器/变压器测试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■压缩机/马达相关产品测试    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■监视器测试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■空调设备测试            ■各类电机制品测试         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 xml:space="preserve">■日光灯整流器测试         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■生产厂(品质保证/管制/寿命测试)等单位使用</w:t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</w:rPr>
              <w:t>■输出400Hz专用电源:军用系统、航空系统、航海系统、超级电脑的交换式电源供应器等 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如以下要求未能满足您的参数要求可来电定制！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产品规格：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firstLine="180" w:firstLineChars="100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ALC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25系列线铁路信号源</w:t>
            </w:r>
          </w:p>
          <w:tbl>
            <w:tblPr>
              <w:tblStyle w:val="7"/>
              <w:tblW w:w="1157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9"/>
              <w:gridCol w:w="1865"/>
              <w:gridCol w:w="1924"/>
              <w:gridCol w:w="2846"/>
              <w:gridCol w:w="30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56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Arial" w:hAnsi="Arial" w:cs="Arial"/>
                      <w:color w:val="231F20"/>
                      <w:sz w:val="18"/>
                      <w:szCs w:val="18"/>
                    </w:rPr>
                    <w:t>型号 Model</w:t>
                  </w:r>
                </w:p>
              </w:tc>
              <w:tc>
                <w:tcPr>
                  <w:tcW w:w="2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ALC25-2000 </w:t>
                  </w:r>
                </w:p>
              </w:tc>
              <w:tc>
                <w:tcPr>
                  <w:tcW w:w="3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ALC25-4000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8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Arial" w:hAnsi="Arial" w:cs="Arial"/>
                      <w:color w:val="231F20"/>
                      <w:sz w:val="18"/>
                      <w:szCs w:val="18"/>
                    </w:rPr>
                    <w:t xml:space="preserve">容量Capacity </w:t>
                  </w:r>
                </w:p>
              </w:tc>
              <w:tc>
                <w:tcPr>
                  <w:tcW w:w="2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2KW </w:t>
                  </w:r>
                </w:p>
              </w:tc>
              <w:tc>
                <w:tcPr>
                  <w:tcW w:w="3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4KW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  <w:t>输入</w:t>
                  </w:r>
                </w:p>
              </w:tc>
              <w:tc>
                <w:tcPr>
                  <w:tcW w:w="37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输入额定电压</w:t>
                  </w:r>
                </w:p>
              </w:tc>
              <w:tc>
                <w:tcPr>
                  <w:tcW w:w="58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AC220V（轨道、局部共用），50Hz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输入电压范围</w:t>
                  </w:r>
                </w:p>
              </w:tc>
              <w:tc>
                <w:tcPr>
                  <w:tcW w:w="58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输入额定电压的±25%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89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输入频率范围</w:t>
                  </w:r>
                </w:p>
              </w:tc>
              <w:tc>
                <w:tcPr>
                  <w:tcW w:w="588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47～63 Hz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  <w:tcBorders>
                    <w:top w:val="single" w:color="auto" w:sz="4" w:space="0"/>
                    <w:left w:val="single" w:color="auto" w:sz="4" w:space="0"/>
                  </w:tcBorders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输入功率因数</w:t>
                  </w:r>
                </w:p>
              </w:tc>
              <w:tc>
                <w:tcPr>
                  <w:tcW w:w="5889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≥0.99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restart"/>
                  <w:vAlign w:val="center"/>
                </w:tcPr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  <w:t>输出</w:t>
                  </w:r>
                </w:p>
                <w:p>
                  <w:pPr>
                    <w:pStyle w:val="8"/>
                    <w:spacing w:before="33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restart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  <w:t>输出电压</w:t>
                  </w: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轨道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AC220V ±6.6V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AC220V ±6.6V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局部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AC110V±3.3V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AC110V±3.3V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restart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  <w:t>输出电流</w:t>
                  </w: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轨道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5.5A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10.9A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局部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7.3A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14.5A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restart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  <w:t>输出功率</w:t>
                  </w: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轨道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1200W@220V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2400W@220V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92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局部 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800W@110V </w:t>
                  </w:r>
                </w:p>
              </w:tc>
              <w:tc>
                <w:tcPr>
                  <w:tcW w:w="30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1600W@110V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输出频率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25HZ±0.4%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相位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两主备模块输出电压相位同步，局部电源相位超前轨道电源90°。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相位角精度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≤±3度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总谐波含量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≤3%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动态电压响应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超调≤10%（负载0-50-100%变化时），稳定时间≤0.2秒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装置过载能力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110% 10分钟 ； 150% 10秒钟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直流分量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输出直流分量≤1V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显示功能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电源、故障、供电LED指示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9" w:type="dxa"/>
                  <w:vMerge w:val="continue"/>
                </w:tcPr>
                <w:p>
                  <w:pPr>
                    <w:pStyle w:val="8"/>
                    <w:spacing w:before="33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整机效率 (满载) </w:t>
                  </w:r>
                </w:p>
              </w:tc>
              <w:tc>
                <w:tcPr>
                  <w:tcW w:w="7813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Arial" w:hAnsi="Arial" w:cs="Arial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η≥88% </w:t>
                  </w:r>
                </w:p>
              </w:tc>
            </w:tr>
          </w:tbl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894" w:leftChars="340" w:hanging="180" w:hangingChars="100"/>
              <w:jc w:val="both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  <w:t>保护</w:t>
            </w: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输出短路保护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电源输出短路后，停止输出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输出过流保护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主机运行时，输出负载110% ，模块保护，故障灯亮， 并切换到备机工作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输入欠压保护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输入电压降压到155±5VAC，故障灯亮，并切换到备机工作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输入过压保护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输入电压升压到285±5VAC，故障灯亮，并切换到备机工作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输出欠压保护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200VAC±5V，保护并切换到备机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输出过压保护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235VAC±5V，保护并切换到备机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整机过热保护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风冷，负载控制风扇调速，内部温度大于85℃时保护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转换方式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主备转换，任一模块故障时应能自动转换至备用模块，且拔出任一模块时，另一模块应能正常工作。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双机切换时间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小于25毫秒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电磁兼容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TB/T 3073-2003标准 满足铁道行业TB/T 3073 2003标准的各项要求。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整机噪音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≤60dB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其它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1）输入、输出隔离，轨道、局部输出隔离。  2）全隔离控制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绝缘强度</w:t>
            </w: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绝缘电阻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≥100MΩ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抗电强度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AC2000V 10mA 1min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MTBF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≥100000H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外型尺寸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1/2模块（310×343×445mm）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工作环境</w:t>
            </w: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存储温度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-30℃~+55℃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工作温度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-10℃~+50℃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相对湿度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≤90%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大气压力 </w:t>
            </w:r>
          </w:p>
        </w:tc>
        <w:tc>
          <w:tcPr>
            <w:tcW w:w="77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106-74.8Kpa ( 海拔高度2500米以下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before="33"/>
              <w:ind w:left="54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接口定义</w:t>
            </w:r>
          </w:p>
        </w:tc>
        <w:tc>
          <w:tcPr>
            <w:tcW w:w="779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 xml:space="preserve">满足铁道部标准要求。 </w:t>
            </w:r>
          </w:p>
        </w:tc>
      </w:tr>
    </w:tbl>
    <w:p>
      <w:pPr>
        <w:numPr>
          <w:ilvl w:val="0"/>
          <w:numId w:val="1"/>
        </w:numPr>
        <w:tabs>
          <w:tab w:val="left" w:pos="1380"/>
        </w:tabs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kern w:val="0"/>
          <w:sz w:val="18"/>
          <w:szCs w:val="18"/>
        </w:rPr>
        <w:t>输出电压可达1000V ◆规格如有变更恕不另行通知</w:t>
      </w:r>
      <w:r>
        <w:rPr>
          <w:rFonts w:hint="default" w:ascii="Arial" w:hAnsi="Arial" w:cs="Arial"/>
          <w:sz w:val="18"/>
          <w:szCs w:val="18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 w:ascii="Arial" w:hAnsi="Arial" w:cs="Arial"/>
          <w:kern w:val="0"/>
          <w:sz w:val="18"/>
          <w:szCs w:val="18"/>
        </w:rPr>
        <w:t xml:space="preserve"> ◆</w:t>
      </w:r>
      <w:r>
        <w:rPr>
          <w:rFonts w:hint="default" w:ascii="Arial" w:hAnsi="Arial" w:cs="Arial"/>
          <w:sz w:val="18"/>
          <w:szCs w:val="18"/>
        </w:rPr>
        <w:t xml:space="preserve">最大失真度在輸出120VAC (150V档位)  及240VAC (300V档位) </w:t>
      </w:r>
      <w:r>
        <w:rPr>
          <w:rFonts w:hint="default" w:ascii="Arial" w:hAnsi="Arial" w:cs="Arial"/>
          <w:color w:val="000000"/>
          <w:kern w:val="0"/>
          <w:sz w:val="18"/>
          <w:szCs w:val="18"/>
        </w:rPr>
        <w:t>纯阻性负载下</w:t>
      </w:r>
      <w:r>
        <w:rPr>
          <w:rFonts w:hint="default" w:ascii="Arial" w:hAnsi="Arial" w:cs="Arial"/>
          <w:sz w:val="18"/>
          <w:szCs w:val="18"/>
        </w:rPr>
        <w:t>测试。</w:t>
      </w:r>
      <w:r>
        <w:rPr>
          <w:rFonts w:hint="default" w:ascii="Arial" w:hAnsi="Arial" w:cs="Arial"/>
          <w:sz w:val="18"/>
          <w:szCs w:val="18"/>
        </w:rPr>
        <w:br w:type="textWrapping"/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tabs>
          <w:tab w:val="left" w:pos="1380"/>
        </w:tabs>
        <w:ind w:leftChars="0"/>
        <w:rPr>
          <w:rFonts w:hint="default" w:ascii="Arial" w:hAnsi="Arial" w:cs="Arial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设备采用图：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drawing>
          <wp:inline distT="0" distB="0" distL="114300" distR="114300">
            <wp:extent cx="3398520" cy="2468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B28"/>
    <w:multiLevelType w:val="multilevel"/>
    <w:tmpl w:val="368D0B28"/>
    <w:lvl w:ilvl="0" w:tentative="0">
      <w:start w:val="0"/>
      <w:numFmt w:val="decimal"/>
      <w:lvlText w:val="◆"/>
      <w:lvlJc w:val="left"/>
      <w:pPr>
        <w:tabs>
          <w:tab w:val="left" w:pos="360"/>
        </w:tabs>
        <w:ind w:left="360" w:hanging="360"/>
      </w:pPr>
      <w:rPr>
        <w:rFonts w:hint="eastAsia" w:cs="Arial"/>
        <w:sz w:val="1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35AF"/>
    <w:rsid w:val="0C2313A2"/>
    <w:rsid w:val="15E25072"/>
    <w:rsid w:val="172F3DFB"/>
    <w:rsid w:val="1B8314FB"/>
    <w:rsid w:val="1EEB15FC"/>
    <w:rsid w:val="1EFD3BE9"/>
    <w:rsid w:val="26D50FC0"/>
    <w:rsid w:val="2B1B4071"/>
    <w:rsid w:val="2B7A7EF1"/>
    <w:rsid w:val="2C5F347A"/>
    <w:rsid w:val="2E900E73"/>
    <w:rsid w:val="31015399"/>
    <w:rsid w:val="35D81758"/>
    <w:rsid w:val="3E0F27CF"/>
    <w:rsid w:val="3EEC358D"/>
    <w:rsid w:val="42E74D8B"/>
    <w:rsid w:val="433E7C14"/>
    <w:rsid w:val="4A4A743E"/>
    <w:rsid w:val="4A9D7BF0"/>
    <w:rsid w:val="4CC70D8B"/>
    <w:rsid w:val="53461817"/>
    <w:rsid w:val="55BD35AF"/>
    <w:rsid w:val="57293479"/>
    <w:rsid w:val="57A115AD"/>
    <w:rsid w:val="59EE6345"/>
    <w:rsid w:val="5B7E2E7A"/>
    <w:rsid w:val="5CC3582F"/>
    <w:rsid w:val="63457C01"/>
    <w:rsid w:val="638E3941"/>
    <w:rsid w:val="68220AC1"/>
    <w:rsid w:val="68367F72"/>
    <w:rsid w:val="68961B23"/>
    <w:rsid w:val="6C592F51"/>
    <w:rsid w:val="6D535020"/>
    <w:rsid w:val="6EB61D13"/>
    <w:rsid w:val="6EBA4A6F"/>
    <w:rsid w:val="732F767E"/>
    <w:rsid w:val="740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2018-11-24T00:56:00Z</dcterms:created>
  <dc:creator>至茂</dc:creator>
  <cp:lastModifiedBy>Administrator</cp:lastModifiedBy>
  <dcterms:modified xsi:type="dcterms:W3CDTF">2018-11-27T04:40:14Z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